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256EC" w14:textId="241BB768" w:rsidR="00D105F0" w:rsidRDefault="00162657">
      <w:pPr>
        <w:pStyle w:val="Title"/>
        <w:widowControl w:val="0"/>
        <w:rPr>
          <w:rFonts w:ascii="Arial" w:eastAsia="Arial" w:hAnsi="Arial" w:cs="Arial"/>
          <w:u w:val="single"/>
        </w:rPr>
      </w:pPr>
      <w:r>
        <w:rPr>
          <w:rFonts w:ascii="Arial" w:eastAsia="Arial" w:hAnsi="Arial" w:cs="Arial"/>
          <w:u w:val="single"/>
        </w:rPr>
        <w:t>INVESTMENT TERM SHEET</w:t>
      </w:r>
    </w:p>
    <w:p w14:paraId="516D70B4" w14:textId="77777777" w:rsidR="00D105F0" w:rsidRDefault="00D105F0">
      <w:pPr>
        <w:jc w:val="both"/>
        <w:rPr>
          <w:rFonts w:ascii="Arial" w:eastAsia="Arial" w:hAnsi="Arial" w:cs="Arial"/>
          <w:sz w:val="20"/>
          <w:szCs w:val="20"/>
        </w:rPr>
      </w:pPr>
    </w:p>
    <w:p w14:paraId="6E89827A" w14:textId="02B483CF" w:rsidR="00D105F0" w:rsidRDefault="00162657">
      <w:pPr>
        <w:jc w:val="both"/>
        <w:rPr>
          <w:rFonts w:ascii="Arial" w:eastAsia="Arial" w:hAnsi="Arial" w:cs="Arial"/>
          <w:sz w:val="20"/>
          <w:szCs w:val="20"/>
        </w:rPr>
      </w:pPr>
      <w:r>
        <w:rPr>
          <w:rFonts w:ascii="Arial" w:eastAsia="Arial" w:hAnsi="Arial" w:cs="Arial"/>
          <w:sz w:val="20"/>
          <w:szCs w:val="20"/>
        </w:rPr>
        <w:t>This Term Sheet (“</w:t>
      </w:r>
      <w:r>
        <w:rPr>
          <w:rFonts w:ascii="Arial" w:eastAsia="Arial" w:hAnsi="Arial" w:cs="Arial"/>
          <w:b/>
          <w:sz w:val="20"/>
          <w:szCs w:val="20"/>
        </w:rPr>
        <w:t>Term Sheet</w:t>
      </w:r>
      <w:r>
        <w:rPr>
          <w:rFonts w:ascii="Arial" w:eastAsia="Arial" w:hAnsi="Arial" w:cs="Arial"/>
          <w:sz w:val="20"/>
          <w:szCs w:val="20"/>
        </w:rPr>
        <w:t xml:space="preserve">”) summarizes the principal terms of a proposed investment by </w:t>
      </w:r>
      <w:r w:rsidR="002248AA">
        <w:rPr>
          <w:rFonts w:ascii="Arial" w:hAnsi="Arial" w:cs="Arial"/>
          <w:color w:val="222222"/>
          <w:shd w:val="clear" w:color="auto" w:fill="FFFFFF"/>
        </w:rPr>
        <w:t>Investors</w:t>
      </w:r>
      <w:r w:rsidR="00D95C00">
        <w:rPr>
          <w:rFonts w:ascii="Arial" w:eastAsia="Arial" w:hAnsi="Arial" w:cs="Arial"/>
          <w:sz w:val="20"/>
          <w:szCs w:val="20"/>
        </w:rPr>
        <w:t xml:space="preserve"> </w:t>
      </w:r>
      <w:r>
        <w:rPr>
          <w:rFonts w:ascii="Arial" w:eastAsia="Arial" w:hAnsi="Arial" w:cs="Arial"/>
          <w:sz w:val="20"/>
          <w:szCs w:val="20"/>
        </w:rPr>
        <w:t xml:space="preserve">in </w:t>
      </w:r>
      <w:r w:rsidR="002248AA">
        <w:rPr>
          <w:rFonts w:ascii="Arial" w:eastAsia="Arial" w:hAnsi="Arial" w:cs="Arial"/>
          <w:color w:val="222222"/>
          <w:sz w:val="20"/>
          <w:szCs w:val="20"/>
          <w:highlight w:val="white"/>
        </w:rPr>
        <w:t>The Company</w:t>
      </w:r>
      <w:r>
        <w:rPr>
          <w:rFonts w:ascii="Arial" w:eastAsia="Arial" w:hAnsi="Arial" w:cs="Arial"/>
          <w:color w:val="000000"/>
          <w:sz w:val="20"/>
          <w:szCs w:val="20"/>
        </w:rPr>
        <w:t xml:space="preserve">. The </w:t>
      </w:r>
      <w:r>
        <w:rPr>
          <w:rFonts w:ascii="Arial" w:eastAsia="Arial" w:hAnsi="Arial" w:cs="Arial"/>
          <w:sz w:val="20"/>
          <w:szCs w:val="20"/>
        </w:rPr>
        <w:t xml:space="preserve">completion of the transaction contemplated by this Term Sheet will be subject to, among other things, completion of a satisfactory due diligence, execution of binding agreements and completion of conditions to Closing. This Term Sheet is not legally binding, except for the provisions on Confidentiality, Exclusivity, Expenses and Dispute Resolution, which provisions will also survive any termination of this Term Sheet. This Term Sheet does not constitute an offer to purchase any securities of the Company or create any obligation on the Investor to consummate the transaction contemplated herein.    </w:t>
      </w:r>
    </w:p>
    <w:p w14:paraId="2C5F8166" w14:textId="77777777" w:rsidR="00D105F0" w:rsidRDefault="00D105F0">
      <w:pPr>
        <w:ind w:left="720"/>
        <w:jc w:val="both"/>
        <w:rPr>
          <w:rFonts w:ascii="Arial" w:eastAsia="Arial" w:hAnsi="Arial" w:cs="Arial"/>
          <w:sz w:val="20"/>
          <w:szCs w:val="20"/>
        </w:rPr>
      </w:pPr>
    </w:p>
    <w:tbl>
      <w:tblPr>
        <w:tblStyle w:val="a"/>
        <w:tblW w:w="92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2"/>
        <w:gridCol w:w="7579"/>
      </w:tblGrid>
      <w:tr w:rsidR="00D105F0" w14:paraId="7CFCC52C" w14:textId="77777777">
        <w:tc>
          <w:tcPr>
            <w:tcW w:w="1632" w:type="dxa"/>
            <w:shd w:val="clear" w:color="auto" w:fill="DDD9C3"/>
          </w:tcPr>
          <w:p w14:paraId="66F4024A" w14:textId="77777777" w:rsidR="00D105F0" w:rsidRDefault="00162657">
            <w:pPr>
              <w:widowControl w:val="0"/>
              <w:jc w:val="center"/>
              <w:rPr>
                <w:rFonts w:ascii="Arial" w:eastAsia="Arial" w:hAnsi="Arial" w:cs="Arial"/>
                <w:b/>
                <w:sz w:val="20"/>
                <w:szCs w:val="20"/>
              </w:rPr>
            </w:pPr>
            <w:r>
              <w:rPr>
                <w:rFonts w:ascii="Arial" w:eastAsia="Arial" w:hAnsi="Arial" w:cs="Arial"/>
                <w:b/>
                <w:sz w:val="20"/>
                <w:szCs w:val="20"/>
              </w:rPr>
              <w:t>Key term</w:t>
            </w:r>
          </w:p>
        </w:tc>
        <w:tc>
          <w:tcPr>
            <w:tcW w:w="7579" w:type="dxa"/>
            <w:shd w:val="clear" w:color="auto" w:fill="DDD9C3"/>
          </w:tcPr>
          <w:p w14:paraId="3A08C1BA" w14:textId="77777777" w:rsidR="00D105F0" w:rsidRDefault="00162657">
            <w:pPr>
              <w:widowControl w:val="0"/>
              <w:jc w:val="center"/>
              <w:rPr>
                <w:rFonts w:ascii="Arial" w:eastAsia="Arial" w:hAnsi="Arial" w:cs="Arial"/>
                <w:b/>
                <w:sz w:val="20"/>
                <w:szCs w:val="20"/>
              </w:rPr>
            </w:pPr>
            <w:r>
              <w:rPr>
                <w:rFonts w:ascii="Arial" w:eastAsia="Arial" w:hAnsi="Arial" w:cs="Arial"/>
                <w:b/>
                <w:sz w:val="20"/>
                <w:szCs w:val="20"/>
              </w:rPr>
              <w:t>Particulars</w:t>
            </w:r>
          </w:p>
        </w:tc>
      </w:tr>
      <w:tr w:rsidR="00D105F0" w14:paraId="7C9A6503" w14:textId="77777777">
        <w:tc>
          <w:tcPr>
            <w:tcW w:w="1632" w:type="dxa"/>
            <w:shd w:val="clear" w:color="auto" w:fill="auto"/>
          </w:tcPr>
          <w:p w14:paraId="08252991" w14:textId="77777777" w:rsidR="00D105F0" w:rsidRDefault="00162657">
            <w:pPr>
              <w:widowControl w:val="0"/>
              <w:rPr>
                <w:rFonts w:ascii="Arial" w:eastAsia="Arial" w:hAnsi="Arial" w:cs="Arial"/>
                <w:b/>
                <w:sz w:val="20"/>
                <w:szCs w:val="20"/>
              </w:rPr>
            </w:pPr>
            <w:r>
              <w:rPr>
                <w:rFonts w:ascii="Arial" w:eastAsia="Arial" w:hAnsi="Arial" w:cs="Arial"/>
                <w:b/>
                <w:sz w:val="20"/>
                <w:szCs w:val="20"/>
              </w:rPr>
              <w:t xml:space="preserve">Company </w:t>
            </w:r>
          </w:p>
        </w:tc>
        <w:tc>
          <w:tcPr>
            <w:tcW w:w="7579" w:type="dxa"/>
            <w:shd w:val="clear" w:color="auto" w:fill="auto"/>
          </w:tcPr>
          <w:p w14:paraId="566E8EB8" w14:textId="6A65FE56" w:rsidR="00D105F0" w:rsidRDefault="002248AA">
            <w:pPr>
              <w:jc w:val="both"/>
              <w:rPr>
                <w:rFonts w:ascii="Arial" w:eastAsia="Arial" w:hAnsi="Arial" w:cs="Arial"/>
                <w:sz w:val="20"/>
                <w:szCs w:val="20"/>
              </w:rPr>
            </w:pPr>
            <w:r>
              <w:rPr>
                <w:rFonts w:ascii="Arial" w:eastAsia="Arial" w:hAnsi="Arial" w:cs="Arial"/>
                <w:color w:val="222222"/>
                <w:sz w:val="20"/>
                <w:szCs w:val="20"/>
                <w:highlight w:val="white"/>
              </w:rPr>
              <w:t>The Company</w:t>
            </w:r>
          </w:p>
          <w:p w14:paraId="14B84777" w14:textId="1BC457F2" w:rsidR="002248AA" w:rsidRDefault="002248AA">
            <w:pPr>
              <w:jc w:val="both"/>
              <w:rPr>
                <w:rFonts w:ascii="Arial" w:eastAsia="Arial" w:hAnsi="Arial" w:cs="Arial"/>
                <w:sz w:val="20"/>
                <w:szCs w:val="20"/>
              </w:rPr>
            </w:pPr>
          </w:p>
        </w:tc>
      </w:tr>
      <w:tr w:rsidR="00D105F0" w14:paraId="4AA484D8" w14:textId="77777777">
        <w:trPr>
          <w:trHeight w:val="300"/>
        </w:trPr>
        <w:tc>
          <w:tcPr>
            <w:tcW w:w="1632" w:type="dxa"/>
            <w:shd w:val="clear" w:color="auto" w:fill="auto"/>
          </w:tcPr>
          <w:p w14:paraId="4A221A8D" w14:textId="77777777" w:rsidR="00D105F0" w:rsidRDefault="00162657">
            <w:pPr>
              <w:widowControl w:val="0"/>
              <w:rPr>
                <w:rFonts w:ascii="Arial" w:eastAsia="Arial" w:hAnsi="Arial" w:cs="Arial"/>
                <w:b/>
                <w:sz w:val="20"/>
                <w:szCs w:val="20"/>
              </w:rPr>
            </w:pPr>
            <w:r>
              <w:rPr>
                <w:rFonts w:ascii="Arial" w:eastAsia="Arial" w:hAnsi="Arial" w:cs="Arial"/>
                <w:b/>
                <w:sz w:val="20"/>
                <w:szCs w:val="20"/>
              </w:rPr>
              <w:t>Founder(s)</w:t>
            </w:r>
          </w:p>
        </w:tc>
        <w:tc>
          <w:tcPr>
            <w:tcW w:w="7579" w:type="dxa"/>
            <w:shd w:val="clear" w:color="auto" w:fill="auto"/>
          </w:tcPr>
          <w:p w14:paraId="196173CF" w14:textId="0723C1B5" w:rsidR="00D105F0" w:rsidRDefault="00D105F0">
            <w:pPr>
              <w:jc w:val="both"/>
              <w:rPr>
                <w:rFonts w:ascii="Arial" w:eastAsia="Arial" w:hAnsi="Arial" w:cs="Arial"/>
                <w:sz w:val="20"/>
                <w:szCs w:val="20"/>
              </w:rPr>
            </w:pPr>
          </w:p>
        </w:tc>
      </w:tr>
      <w:tr w:rsidR="00D105F0" w14:paraId="0A4B7FF9" w14:textId="77777777">
        <w:trPr>
          <w:trHeight w:val="260"/>
        </w:trPr>
        <w:tc>
          <w:tcPr>
            <w:tcW w:w="1632" w:type="dxa"/>
            <w:shd w:val="clear" w:color="auto" w:fill="auto"/>
          </w:tcPr>
          <w:p w14:paraId="24893899" w14:textId="77777777" w:rsidR="00D105F0" w:rsidRDefault="00162657">
            <w:pPr>
              <w:widowControl w:val="0"/>
              <w:rPr>
                <w:rFonts w:ascii="Arial" w:eastAsia="Arial" w:hAnsi="Arial" w:cs="Arial"/>
                <w:b/>
                <w:sz w:val="20"/>
                <w:szCs w:val="20"/>
              </w:rPr>
            </w:pPr>
            <w:r>
              <w:rPr>
                <w:rFonts w:ascii="Arial" w:eastAsia="Arial" w:hAnsi="Arial" w:cs="Arial"/>
                <w:b/>
                <w:sz w:val="20"/>
                <w:szCs w:val="20"/>
              </w:rPr>
              <w:t>Investor</w:t>
            </w:r>
          </w:p>
        </w:tc>
        <w:tc>
          <w:tcPr>
            <w:tcW w:w="7579" w:type="dxa"/>
            <w:shd w:val="clear" w:color="auto" w:fill="auto"/>
          </w:tcPr>
          <w:p w14:paraId="3F4D0F29" w14:textId="0FD1CFAC" w:rsidR="00D105F0" w:rsidRDefault="00D95C00">
            <w:pPr>
              <w:widowControl w:val="0"/>
              <w:rPr>
                <w:rFonts w:ascii="Arial" w:eastAsia="Arial" w:hAnsi="Arial" w:cs="Arial"/>
                <w:sz w:val="20"/>
                <w:szCs w:val="20"/>
              </w:rPr>
            </w:pPr>
            <w:r>
              <w:rPr>
                <w:rFonts w:ascii="Arial" w:hAnsi="Arial" w:cs="Arial"/>
                <w:color w:val="222222"/>
                <w:shd w:val="clear" w:color="auto" w:fill="FFFFFF"/>
              </w:rPr>
              <w:t xml:space="preserve"> (“Investors”)</w:t>
            </w:r>
          </w:p>
        </w:tc>
      </w:tr>
      <w:tr w:rsidR="00D105F0" w14:paraId="126DB818" w14:textId="77777777">
        <w:trPr>
          <w:trHeight w:val="1780"/>
        </w:trPr>
        <w:tc>
          <w:tcPr>
            <w:tcW w:w="1632" w:type="dxa"/>
            <w:shd w:val="clear" w:color="auto" w:fill="auto"/>
          </w:tcPr>
          <w:p w14:paraId="0D793266" w14:textId="77777777" w:rsidR="00D105F0" w:rsidRDefault="00162657">
            <w:pPr>
              <w:widowControl w:val="0"/>
              <w:rPr>
                <w:rFonts w:ascii="Arial" w:eastAsia="Arial" w:hAnsi="Arial" w:cs="Arial"/>
                <w:b/>
                <w:sz w:val="20"/>
                <w:szCs w:val="20"/>
              </w:rPr>
            </w:pPr>
            <w:r>
              <w:rPr>
                <w:rFonts w:ascii="Arial" w:eastAsia="Arial" w:hAnsi="Arial" w:cs="Arial"/>
                <w:b/>
                <w:sz w:val="20"/>
                <w:szCs w:val="20"/>
              </w:rPr>
              <w:t>Investment details</w:t>
            </w:r>
          </w:p>
        </w:tc>
        <w:tc>
          <w:tcPr>
            <w:tcW w:w="7579" w:type="dxa"/>
            <w:shd w:val="clear" w:color="auto" w:fill="auto"/>
          </w:tcPr>
          <w:p w14:paraId="7D8F3CB5" w14:textId="77FA3176" w:rsidR="00D105F0" w:rsidRDefault="00162657">
            <w:pPr>
              <w:widowControl w:val="0"/>
              <w:jc w:val="both"/>
              <w:rPr>
                <w:rFonts w:ascii="Arial" w:eastAsia="Arial" w:hAnsi="Arial" w:cs="Arial"/>
                <w:sz w:val="20"/>
                <w:szCs w:val="20"/>
              </w:rPr>
            </w:pPr>
            <w:r>
              <w:rPr>
                <w:rFonts w:ascii="Arial" w:eastAsia="Arial" w:hAnsi="Arial" w:cs="Arial"/>
                <w:sz w:val="20"/>
                <w:szCs w:val="20"/>
              </w:rPr>
              <w:t xml:space="preserve">The Investors shall invest INR </w:t>
            </w:r>
            <w:r w:rsidR="002248AA">
              <w:rPr>
                <w:rFonts w:ascii="Arial" w:eastAsia="Arial" w:hAnsi="Arial" w:cs="Arial"/>
                <w:sz w:val="20"/>
                <w:szCs w:val="20"/>
              </w:rPr>
              <w:t>_____</w:t>
            </w:r>
            <w:r>
              <w:rPr>
                <w:rFonts w:ascii="Arial" w:eastAsia="Arial" w:hAnsi="Arial" w:cs="Arial"/>
                <w:sz w:val="20"/>
                <w:szCs w:val="20"/>
              </w:rPr>
              <w:t xml:space="preserve"> at a pre-money valuation of INR </w:t>
            </w:r>
            <w:r w:rsidR="002248AA">
              <w:rPr>
                <w:rFonts w:ascii="Arial" w:eastAsia="Arial" w:hAnsi="Arial" w:cs="Arial"/>
                <w:sz w:val="20"/>
                <w:szCs w:val="20"/>
              </w:rPr>
              <w:t>____</w:t>
            </w:r>
          </w:p>
          <w:p w14:paraId="7B18DACB" w14:textId="77777777" w:rsidR="00D105F0" w:rsidRDefault="00D105F0">
            <w:pPr>
              <w:widowControl w:val="0"/>
              <w:rPr>
                <w:rFonts w:ascii="Arial" w:eastAsia="Arial" w:hAnsi="Arial" w:cs="Arial"/>
                <w:sz w:val="20"/>
                <w:szCs w:val="20"/>
              </w:rPr>
            </w:pPr>
          </w:p>
          <w:p w14:paraId="038EA572" w14:textId="5995BCB8" w:rsidR="00D105F0" w:rsidRDefault="00162657">
            <w:pPr>
              <w:widowControl w:val="0"/>
              <w:jc w:val="both"/>
              <w:rPr>
                <w:rFonts w:ascii="Arial" w:eastAsia="Arial" w:hAnsi="Arial" w:cs="Arial"/>
                <w:sz w:val="20"/>
                <w:szCs w:val="20"/>
              </w:rPr>
            </w:pPr>
            <w:r>
              <w:rPr>
                <w:rFonts w:ascii="Arial" w:eastAsia="Arial" w:hAnsi="Arial" w:cs="Arial"/>
                <w:sz w:val="20"/>
                <w:szCs w:val="20"/>
              </w:rPr>
              <w:t xml:space="preserve">The Investors shall be allotted </w:t>
            </w:r>
            <w:r w:rsidR="00D95C00">
              <w:rPr>
                <w:rFonts w:ascii="Arial" w:eastAsia="Arial" w:hAnsi="Arial" w:cs="Arial"/>
                <w:sz w:val="20"/>
                <w:szCs w:val="20"/>
              </w:rPr>
              <w:t>equity</w:t>
            </w:r>
            <w:r>
              <w:rPr>
                <w:rFonts w:ascii="Arial" w:eastAsia="Arial" w:hAnsi="Arial" w:cs="Arial"/>
                <w:sz w:val="20"/>
                <w:szCs w:val="20"/>
              </w:rPr>
              <w:t xml:space="preserve"> shares against the investment on a fully diluted basis. Current and post-closing shareholding pattern will be as set out in Annexure 1.</w:t>
            </w:r>
          </w:p>
        </w:tc>
      </w:tr>
      <w:tr w:rsidR="00D105F0" w14:paraId="411F9CFC" w14:textId="77777777">
        <w:tc>
          <w:tcPr>
            <w:tcW w:w="1632" w:type="dxa"/>
            <w:shd w:val="clear" w:color="auto" w:fill="auto"/>
          </w:tcPr>
          <w:p w14:paraId="163C349B" w14:textId="77777777" w:rsidR="00D105F0" w:rsidRDefault="00162657">
            <w:pPr>
              <w:widowControl w:val="0"/>
              <w:rPr>
                <w:rFonts w:ascii="Arial" w:eastAsia="Arial" w:hAnsi="Arial" w:cs="Arial"/>
                <w:b/>
                <w:sz w:val="20"/>
                <w:szCs w:val="20"/>
              </w:rPr>
            </w:pPr>
            <w:r>
              <w:rPr>
                <w:rFonts w:ascii="Arial" w:eastAsia="Arial" w:hAnsi="Arial" w:cs="Arial"/>
                <w:b/>
                <w:sz w:val="20"/>
                <w:szCs w:val="20"/>
              </w:rPr>
              <w:t>Board and Observer Rights</w:t>
            </w:r>
          </w:p>
        </w:tc>
        <w:tc>
          <w:tcPr>
            <w:tcW w:w="7579" w:type="dxa"/>
            <w:shd w:val="clear" w:color="auto" w:fill="auto"/>
          </w:tcPr>
          <w:p w14:paraId="1EBAE784" w14:textId="0C724825" w:rsidR="00D105F0" w:rsidRDefault="000C60EA">
            <w:pPr>
              <w:widowControl w:val="0"/>
              <w:jc w:val="both"/>
              <w:rPr>
                <w:rFonts w:ascii="Arial" w:eastAsia="Arial" w:hAnsi="Arial" w:cs="Arial"/>
                <w:sz w:val="20"/>
                <w:szCs w:val="20"/>
              </w:rPr>
            </w:pPr>
            <w:r>
              <w:rPr>
                <w:rFonts w:ascii="Arial" w:eastAsia="Arial" w:hAnsi="Arial" w:cs="Arial"/>
                <w:sz w:val="20"/>
                <w:szCs w:val="20"/>
              </w:rPr>
              <w:t>Investors</w:t>
            </w:r>
            <w:r w:rsidR="00162657">
              <w:rPr>
                <w:rFonts w:ascii="Arial" w:eastAsia="Arial" w:hAnsi="Arial" w:cs="Arial"/>
                <w:sz w:val="20"/>
                <w:szCs w:val="20"/>
              </w:rPr>
              <w:t xml:space="preserve"> will have the right to nominate a non-voting observer on the Board or any committee constituted by the Board.</w:t>
            </w:r>
          </w:p>
          <w:p w14:paraId="03507831" w14:textId="77777777" w:rsidR="00D105F0" w:rsidRDefault="00D105F0">
            <w:pPr>
              <w:widowControl w:val="0"/>
              <w:jc w:val="both"/>
              <w:rPr>
                <w:rFonts w:ascii="Arial" w:eastAsia="Arial" w:hAnsi="Arial" w:cs="Arial"/>
                <w:sz w:val="20"/>
                <w:szCs w:val="20"/>
              </w:rPr>
            </w:pPr>
          </w:p>
        </w:tc>
      </w:tr>
      <w:tr w:rsidR="00D105F0" w14:paraId="29480B41" w14:textId="77777777" w:rsidTr="00EA1D36">
        <w:trPr>
          <w:trHeight w:val="975"/>
        </w:trPr>
        <w:tc>
          <w:tcPr>
            <w:tcW w:w="1632" w:type="dxa"/>
            <w:shd w:val="clear" w:color="auto" w:fill="auto"/>
          </w:tcPr>
          <w:p w14:paraId="74D63754" w14:textId="77777777" w:rsidR="00D105F0" w:rsidRDefault="00162657">
            <w:pPr>
              <w:widowControl w:val="0"/>
              <w:rPr>
                <w:rFonts w:ascii="Arial" w:eastAsia="Arial" w:hAnsi="Arial" w:cs="Arial"/>
                <w:sz w:val="20"/>
                <w:szCs w:val="20"/>
              </w:rPr>
            </w:pPr>
            <w:r>
              <w:rPr>
                <w:rFonts w:ascii="Arial" w:eastAsia="Arial" w:hAnsi="Arial" w:cs="Arial"/>
                <w:b/>
                <w:sz w:val="20"/>
                <w:szCs w:val="20"/>
              </w:rPr>
              <w:t>Affirmative Voting</w:t>
            </w:r>
          </w:p>
        </w:tc>
        <w:tc>
          <w:tcPr>
            <w:tcW w:w="7579" w:type="dxa"/>
            <w:shd w:val="clear" w:color="auto" w:fill="auto"/>
          </w:tcPr>
          <w:p w14:paraId="591582CE" w14:textId="51E7702E" w:rsidR="00D105F0" w:rsidRDefault="000C60EA">
            <w:pPr>
              <w:widowControl w:val="0"/>
              <w:rPr>
                <w:rFonts w:ascii="Arial" w:eastAsia="Arial" w:hAnsi="Arial" w:cs="Arial"/>
                <w:sz w:val="20"/>
                <w:szCs w:val="20"/>
              </w:rPr>
            </w:pPr>
            <w:r>
              <w:rPr>
                <w:rFonts w:ascii="Arial" w:eastAsia="Arial" w:hAnsi="Arial" w:cs="Arial"/>
                <w:sz w:val="20"/>
                <w:szCs w:val="20"/>
              </w:rPr>
              <w:t>Investors</w:t>
            </w:r>
            <w:r w:rsidR="00162657">
              <w:rPr>
                <w:rFonts w:ascii="Arial" w:eastAsia="Arial" w:hAnsi="Arial" w:cs="Arial"/>
                <w:sz w:val="20"/>
                <w:szCs w:val="20"/>
              </w:rPr>
              <w:t xml:space="preserve"> will have standard veto rights on all key matters. The list of affirmative voting matters will be as set out in Annexure 2. Decisions on these matters, whether in a shareholders meeting or at a board meeting, would require the affirmative vote of the Investor Director.</w:t>
            </w:r>
          </w:p>
        </w:tc>
      </w:tr>
      <w:tr w:rsidR="00D105F0" w14:paraId="3489E37D" w14:textId="77777777">
        <w:tc>
          <w:tcPr>
            <w:tcW w:w="1632" w:type="dxa"/>
            <w:shd w:val="clear" w:color="auto" w:fill="auto"/>
          </w:tcPr>
          <w:p w14:paraId="4BE47E1A" w14:textId="77777777" w:rsidR="00D105F0" w:rsidRDefault="00162657">
            <w:pPr>
              <w:widowControl w:val="0"/>
              <w:rPr>
                <w:rFonts w:ascii="Arial" w:eastAsia="Arial" w:hAnsi="Arial" w:cs="Arial"/>
                <w:b/>
                <w:sz w:val="20"/>
                <w:szCs w:val="20"/>
              </w:rPr>
            </w:pPr>
            <w:r>
              <w:rPr>
                <w:rFonts w:ascii="Arial" w:eastAsia="Arial" w:hAnsi="Arial" w:cs="Arial"/>
                <w:b/>
                <w:sz w:val="20"/>
                <w:szCs w:val="20"/>
              </w:rPr>
              <w:t>Voting Rights</w:t>
            </w:r>
          </w:p>
        </w:tc>
        <w:tc>
          <w:tcPr>
            <w:tcW w:w="7579" w:type="dxa"/>
            <w:shd w:val="clear" w:color="auto" w:fill="auto"/>
          </w:tcPr>
          <w:p w14:paraId="17C67BD9" w14:textId="7CA07787" w:rsidR="00D105F0" w:rsidRDefault="000C60EA">
            <w:pPr>
              <w:widowControl w:val="0"/>
              <w:rPr>
                <w:rFonts w:ascii="Arial" w:eastAsia="Arial" w:hAnsi="Arial" w:cs="Arial"/>
                <w:sz w:val="20"/>
                <w:szCs w:val="20"/>
              </w:rPr>
            </w:pPr>
            <w:r>
              <w:rPr>
                <w:rFonts w:ascii="Arial" w:eastAsia="Arial" w:hAnsi="Arial" w:cs="Arial"/>
                <w:sz w:val="20"/>
                <w:szCs w:val="20"/>
              </w:rPr>
              <w:t>Voting rights shall be same as on existing equity shares</w:t>
            </w:r>
            <w:r w:rsidR="00162657">
              <w:rPr>
                <w:rFonts w:ascii="Arial" w:eastAsia="Arial" w:hAnsi="Arial" w:cs="Arial"/>
                <w:sz w:val="20"/>
                <w:szCs w:val="20"/>
              </w:rPr>
              <w:t>.</w:t>
            </w:r>
          </w:p>
        </w:tc>
      </w:tr>
      <w:tr w:rsidR="00D105F0" w14:paraId="2137C8EA" w14:textId="77777777">
        <w:tc>
          <w:tcPr>
            <w:tcW w:w="1632" w:type="dxa"/>
            <w:shd w:val="clear" w:color="auto" w:fill="auto"/>
          </w:tcPr>
          <w:p w14:paraId="28E8F9F8" w14:textId="77777777" w:rsidR="00D105F0" w:rsidRDefault="00162657">
            <w:pPr>
              <w:widowControl w:val="0"/>
              <w:rPr>
                <w:rFonts w:ascii="Arial" w:eastAsia="Arial" w:hAnsi="Arial" w:cs="Arial"/>
                <w:b/>
                <w:sz w:val="20"/>
                <w:szCs w:val="20"/>
              </w:rPr>
            </w:pPr>
            <w:r>
              <w:rPr>
                <w:rFonts w:ascii="Arial" w:eastAsia="Arial" w:hAnsi="Arial" w:cs="Arial"/>
                <w:b/>
                <w:sz w:val="20"/>
                <w:szCs w:val="20"/>
              </w:rPr>
              <w:t>Liquidation Preference</w:t>
            </w:r>
          </w:p>
        </w:tc>
        <w:tc>
          <w:tcPr>
            <w:tcW w:w="7579" w:type="dxa"/>
            <w:shd w:val="clear" w:color="auto" w:fill="auto"/>
          </w:tcPr>
          <w:p w14:paraId="0CCA647B" w14:textId="77777777" w:rsidR="00D105F0" w:rsidRDefault="00162657">
            <w:pPr>
              <w:widowControl w:val="0"/>
              <w:rPr>
                <w:rFonts w:ascii="Arial" w:eastAsia="Arial" w:hAnsi="Arial" w:cs="Arial"/>
                <w:sz w:val="20"/>
                <w:szCs w:val="20"/>
              </w:rPr>
            </w:pPr>
            <w:r>
              <w:rPr>
                <w:rFonts w:ascii="Arial" w:eastAsia="Arial" w:hAnsi="Arial" w:cs="Arial"/>
                <w:sz w:val="20"/>
                <w:szCs w:val="20"/>
              </w:rPr>
              <w:t xml:space="preserve">Upon occurrence of a Liquidity Event, the Investor would be entitled to receive 1x participating liquidation preference. </w:t>
            </w:r>
          </w:p>
          <w:p w14:paraId="4B7D7DCD" w14:textId="77777777" w:rsidR="00D105F0" w:rsidRDefault="00162657">
            <w:pPr>
              <w:widowControl w:val="0"/>
              <w:rPr>
                <w:rFonts w:ascii="Arial" w:eastAsia="Arial" w:hAnsi="Arial" w:cs="Arial"/>
                <w:sz w:val="20"/>
                <w:szCs w:val="20"/>
              </w:rPr>
            </w:pPr>
            <w:r>
              <w:rPr>
                <w:rFonts w:ascii="Arial" w:eastAsia="Arial" w:hAnsi="Arial" w:cs="Arial"/>
                <w:sz w:val="20"/>
                <w:szCs w:val="20"/>
              </w:rPr>
              <w:t xml:space="preserve"> </w:t>
            </w:r>
          </w:p>
          <w:p w14:paraId="28500760" w14:textId="77777777" w:rsidR="00D105F0" w:rsidRDefault="00162657">
            <w:pPr>
              <w:jc w:val="both"/>
              <w:rPr>
                <w:rFonts w:ascii="Arial" w:eastAsia="Arial" w:hAnsi="Arial" w:cs="Arial"/>
                <w:sz w:val="20"/>
                <w:szCs w:val="20"/>
              </w:rPr>
            </w:pPr>
            <w:r>
              <w:rPr>
                <w:rFonts w:ascii="Arial" w:eastAsia="Arial" w:hAnsi="Arial" w:cs="Arial"/>
                <w:sz w:val="20"/>
                <w:szCs w:val="20"/>
              </w:rPr>
              <w:t>‘Liquidity Event’ will include (</w:t>
            </w:r>
            <w:proofErr w:type="spellStart"/>
            <w:r>
              <w:rPr>
                <w:rFonts w:ascii="Arial" w:eastAsia="Arial" w:hAnsi="Arial" w:cs="Arial"/>
                <w:sz w:val="20"/>
                <w:szCs w:val="20"/>
              </w:rPr>
              <w:t>i</w:t>
            </w:r>
            <w:proofErr w:type="spellEnd"/>
            <w:r>
              <w:rPr>
                <w:rFonts w:ascii="Arial" w:eastAsia="Arial" w:hAnsi="Arial" w:cs="Arial"/>
                <w:sz w:val="20"/>
                <w:szCs w:val="20"/>
              </w:rPr>
              <w:t xml:space="preserve">) a dissolution or winding up of the Company; or (ii) sale, transfer, consolidation, merger or any other transaction, which results in a change of control and/or a disposal of all or substantially all of the assets of the Company. </w:t>
            </w:r>
          </w:p>
        </w:tc>
      </w:tr>
      <w:tr w:rsidR="00D105F0" w14:paraId="74E51D7E" w14:textId="77777777">
        <w:tc>
          <w:tcPr>
            <w:tcW w:w="1632" w:type="dxa"/>
            <w:shd w:val="clear" w:color="auto" w:fill="auto"/>
          </w:tcPr>
          <w:p w14:paraId="74238715" w14:textId="77777777" w:rsidR="00D105F0" w:rsidRDefault="00162657">
            <w:pPr>
              <w:widowControl w:val="0"/>
              <w:rPr>
                <w:rFonts w:ascii="Arial" w:eastAsia="Arial" w:hAnsi="Arial" w:cs="Arial"/>
                <w:b/>
                <w:sz w:val="20"/>
                <w:szCs w:val="20"/>
              </w:rPr>
            </w:pPr>
            <w:r>
              <w:rPr>
                <w:rFonts w:ascii="Arial" w:eastAsia="Arial" w:hAnsi="Arial" w:cs="Arial"/>
                <w:b/>
                <w:sz w:val="20"/>
                <w:szCs w:val="20"/>
              </w:rPr>
              <w:t>Anti-dilution</w:t>
            </w:r>
          </w:p>
        </w:tc>
        <w:tc>
          <w:tcPr>
            <w:tcW w:w="7579" w:type="dxa"/>
            <w:shd w:val="clear" w:color="auto" w:fill="auto"/>
          </w:tcPr>
          <w:p w14:paraId="120214D0"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Investors shall have standard broad-based weighted-average anti-dilution rights.</w:t>
            </w:r>
          </w:p>
        </w:tc>
      </w:tr>
      <w:tr w:rsidR="00D105F0" w14:paraId="5ADE08CA" w14:textId="77777777">
        <w:tc>
          <w:tcPr>
            <w:tcW w:w="1632" w:type="dxa"/>
            <w:shd w:val="clear" w:color="auto" w:fill="auto"/>
          </w:tcPr>
          <w:p w14:paraId="2C40AE8F" w14:textId="77777777" w:rsidR="00D105F0" w:rsidRDefault="00162657">
            <w:pPr>
              <w:widowControl w:val="0"/>
              <w:rPr>
                <w:rFonts w:ascii="Arial" w:eastAsia="Arial" w:hAnsi="Arial" w:cs="Arial"/>
                <w:b/>
                <w:sz w:val="20"/>
                <w:szCs w:val="20"/>
              </w:rPr>
            </w:pPr>
            <w:r>
              <w:rPr>
                <w:rFonts w:ascii="Arial" w:eastAsia="Arial" w:hAnsi="Arial" w:cs="Arial"/>
                <w:b/>
                <w:sz w:val="20"/>
                <w:szCs w:val="20"/>
              </w:rPr>
              <w:t>Pre-emptive Right</w:t>
            </w:r>
          </w:p>
        </w:tc>
        <w:tc>
          <w:tcPr>
            <w:tcW w:w="7579" w:type="dxa"/>
            <w:shd w:val="clear" w:color="auto" w:fill="auto"/>
          </w:tcPr>
          <w:p w14:paraId="48756630"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In any future issuance of equity or equity-linked securities, the Investors will have right to participate on a pro rata basis.</w:t>
            </w:r>
          </w:p>
        </w:tc>
      </w:tr>
      <w:tr w:rsidR="00D105F0" w14:paraId="4745D7E9" w14:textId="77777777">
        <w:tc>
          <w:tcPr>
            <w:tcW w:w="1632" w:type="dxa"/>
            <w:shd w:val="clear" w:color="auto" w:fill="auto"/>
          </w:tcPr>
          <w:p w14:paraId="130426EB" w14:textId="77777777" w:rsidR="00D105F0" w:rsidRDefault="00162657">
            <w:pPr>
              <w:widowControl w:val="0"/>
              <w:rPr>
                <w:rFonts w:ascii="Arial" w:eastAsia="Arial" w:hAnsi="Arial" w:cs="Arial"/>
                <w:b/>
                <w:sz w:val="20"/>
                <w:szCs w:val="20"/>
              </w:rPr>
            </w:pPr>
            <w:r>
              <w:rPr>
                <w:rFonts w:ascii="Arial" w:eastAsia="Arial" w:hAnsi="Arial" w:cs="Arial"/>
                <w:b/>
                <w:sz w:val="20"/>
                <w:szCs w:val="20"/>
              </w:rPr>
              <w:t>Right of First Refusal &amp; Tag Along</w:t>
            </w:r>
          </w:p>
        </w:tc>
        <w:tc>
          <w:tcPr>
            <w:tcW w:w="7579" w:type="dxa"/>
            <w:shd w:val="clear" w:color="auto" w:fill="auto"/>
          </w:tcPr>
          <w:p w14:paraId="2155D0AD"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 xml:space="preserve">The Investors will have the right of first refusal to purchase all or any securities proposed to be sold by the Founders or other shareholders at the same price and terms as offered to a proposed purchaser. </w:t>
            </w:r>
          </w:p>
          <w:p w14:paraId="74334560" w14:textId="77777777" w:rsidR="00D105F0" w:rsidRDefault="00D105F0">
            <w:pPr>
              <w:widowControl w:val="0"/>
              <w:jc w:val="both"/>
              <w:rPr>
                <w:rFonts w:ascii="Arial" w:eastAsia="Arial" w:hAnsi="Arial" w:cs="Arial"/>
                <w:sz w:val="20"/>
                <w:szCs w:val="20"/>
              </w:rPr>
            </w:pPr>
          </w:p>
          <w:p w14:paraId="6DF96D7B"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 xml:space="preserve">In the event that an Investor does not exercise its right of first refusal, the selling shareholder will be entitled to sell his shares on terms which are not more favourable than those offered to </w:t>
            </w:r>
            <w:proofErr w:type="spellStart"/>
            <w:proofErr w:type="gramStart"/>
            <w:r>
              <w:rPr>
                <w:rFonts w:ascii="Arial" w:eastAsia="Arial" w:hAnsi="Arial" w:cs="Arial"/>
                <w:sz w:val="20"/>
                <w:szCs w:val="20"/>
              </w:rPr>
              <w:t>he</w:t>
            </w:r>
            <w:proofErr w:type="spellEnd"/>
            <w:proofErr w:type="gramEnd"/>
            <w:r>
              <w:rPr>
                <w:rFonts w:ascii="Arial" w:eastAsia="Arial" w:hAnsi="Arial" w:cs="Arial"/>
                <w:sz w:val="20"/>
                <w:szCs w:val="20"/>
              </w:rPr>
              <w:t xml:space="preserve"> Investor. </w:t>
            </w:r>
          </w:p>
          <w:p w14:paraId="14EA0065" w14:textId="77777777" w:rsidR="00D105F0" w:rsidRDefault="00D105F0">
            <w:pPr>
              <w:widowControl w:val="0"/>
              <w:jc w:val="both"/>
              <w:rPr>
                <w:rFonts w:ascii="Arial" w:eastAsia="Arial" w:hAnsi="Arial" w:cs="Arial"/>
                <w:sz w:val="20"/>
                <w:szCs w:val="20"/>
              </w:rPr>
            </w:pPr>
          </w:p>
          <w:p w14:paraId="701DEE24"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In the event that an Investor does not exercise its right of first refusal and the seller is a Founder, then such Investor may exercise pro rata tag along rights with the selling Founder, provided that if the sale will result in a change of control, such Investor shall be entitled to tag along all its shares.</w:t>
            </w:r>
          </w:p>
        </w:tc>
      </w:tr>
      <w:tr w:rsidR="00D105F0" w14:paraId="14E9115C" w14:textId="77777777">
        <w:trPr>
          <w:trHeight w:val="520"/>
        </w:trPr>
        <w:tc>
          <w:tcPr>
            <w:tcW w:w="1632" w:type="dxa"/>
            <w:shd w:val="clear" w:color="auto" w:fill="auto"/>
          </w:tcPr>
          <w:p w14:paraId="5D78D0CC" w14:textId="77777777" w:rsidR="00D105F0" w:rsidRDefault="00162657">
            <w:pPr>
              <w:widowControl w:val="0"/>
              <w:rPr>
                <w:rFonts w:ascii="Arial" w:eastAsia="Arial" w:hAnsi="Arial" w:cs="Arial"/>
                <w:b/>
                <w:sz w:val="20"/>
                <w:szCs w:val="20"/>
              </w:rPr>
            </w:pPr>
            <w:r>
              <w:rPr>
                <w:rFonts w:ascii="Arial" w:eastAsia="Arial" w:hAnsi="Arial" w:cs="Arial"/>
                <w:b/>
                <w:sz w:val="20"/>
                <w:szCs w:val="20"/>
              </w:rPr>
              <w:t>Founder Stock Vesting</w:t>
            </w:r>
          </w:p>
        </w:tc>
        <w:tc>
          <w:tcPr>
            <w:tcW w:w="7579" w:type="dxa"/>
            <w:shd w:val="clear" w:color="auto" w:fill="auto"/>
          </w:tcPr>
          <w:p w14:paraId="7EEF0310"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All shares held by the Founders and other employees will vest over 4 years from Closing, with a one-year ‘cliff’ and yearly vesting thereafter.</w:t>
            </w:r>
          </w:p>
          <w:p w14:paraId="32557EAA" w14:textId="77777777" w:rsidR="00D105F0" w:rsidRDefault="00D105F0">
            <w:pPr>
              <w:widowControl w:val="0"/>
              <w:jc w:val="both"/>
              <w:rPr>
                <w:rFonts w:ascii="Arial" w:eastAsia="Arial" w:hAnsi="Arial" w:cs="Arial"/>
                <w:sz w:val="20"/>
                <w:szCs w:val="20"/>
              </w:rPr>
            </w:pPr>
          </w:p>
        </w:tc>
      </w:tr>
      <w:tr w:rsidR="00D105F0" w14:paraId="350ACD49" w14:textId="77777777">
        <w:tc>
          <w:tcPr>
            <w:tcW w:w="1632" w:type="dxa"/>
            <w:shd w:val="clear" w:color="auto" w:fill="auto"/>
          </w:tcPr>
          <w:p w14:paraId="4C4BA27B" w14:textId="77777777" w:rsidR="00D105F0" w:rsidRDefault="00162657">
            <w:pPr>
              <w:widowControl w:val="0"/>
              <w:rPr>
                <w:rFonts w:ascii="Arial" w:eastAsia="Arial" w:hAnsi="Arial" w:cs="Arial"/>
                <w:b/>
                <w:sz w:val="20"/>
                <w:szCs w:val="20"/>
              </w:rPr>
            </w:pPr>
            <w:r>
              <w:rPr>
                <w:rFonts w:ascii="Arial" w:eastAsia="Arial" w:hAnsi="Arial" w:cs="Arial"/>
                <w:b/>
                <w:sz w:val="20"/>
                <w:szCs w:val="20"/>
              </w:rPr>
              <w:t>Founder lock-</w:t>
            </w:r>
            <w:r>
              <w:rPr>
                <w:rFonts w:ascii="Arial" w:eastAsia="Arial" w:hAnsi="Arial" w:cs="Arial"/>
                <w:b/>
                <w:sz w:val="20"/>
                <w:szCs w:val="20"/>
              </w:rPr>
              <w:lastRenderedPageBreak/>
              <w:t>in</w:t>
            </w:r>
          </w:p>
        </w:tc>
        <w:tc>
          <w:tcPr>
            <w:tcW w:w="7579" w:type="dxa"/>
            <w:shd w:val="clear" w:color="auto" w:fill="auto"/>
          </w:tcPr>
          <w:p w14:paraId="0CA51B09"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lastRenderedPageBreak/>
              <w:t xml:space="preserve">Founder(s) will not be entitled to transfer their shares without the prior approval of </w:t>
            </w:r>
            <w:r>
              <w:rPr>
                <w:rFonts w:ascii="Arial" w:eastAsia="Arial" w:hAnsi="Arial" w:cs="Arial"/>
                <w:sz w:val="20"/>
                <w:szCs w:val="20"/>
              </w:rPr>
              <w:lastRenderedPageBreak/>
              <w:t>the Investor.</w:t>
            </w:r>
          </w:p>
        </w:tc>
      </w:tr>
      <w:tr w:rsidR="00D105F0" w14:paraId="70F54732" w14:textId="77777777">
        <w:tc>
          <w:tcPr>
            <w:tcW w:w="1632" w:type="dxa"/>
            <w:shd w:val="clear" w:color="auto" w:fill="auto"/>
          </w:tcPr>
          <w:p w14:paraId="7A723904" w14:textId="77777777" w:rsidR="00D105F0" w:rsidRDefault="00162657">
            <w:pPr>
              <w:widowControl w:val="0"/>
              <w:rPr>
                <w:rFonts w:ascii="Arial" w:eastAsia="Arial" w:hAnsi="Arial" w:cs="Arial"/>
                <w:b/>
                <w:sz w:val="20"/>
                <w:szCs w:val="20"/>
              </w:rPr>
            </w:pPr>
            <w:r>
              <w:rPr>
                <w:rFonts w:ascii="Arial" w:eastAsia="Arial" w:hAnsi="Arial" w:cs="Arial"/>
                <w:b/>
                <w:sz w:val="20"/>
                <w:szCs w:val="20"/>
              </w:rPr>
              <w:lastRenderedPageBreak/>
              <w:t>Non-compete and Non-Solicit</w:t>
            </w:r>
          </w:p>
        </w:tc>
        <w:tc>
          <w:tcPr>
            <w:tcW w:w="7579" w:type="dxa"/>
            <w:shd w:val="clear" w:color="auto" w:fill="auto"/>
          </w:tcPr>
          <w:p w14:paraId="0B0243F2"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Founders will undertake customary non-compete and non-solicit undertakings; and will work exclusively for the Company.</w:t>
            </w:r>
          </w:p>
        </w:tc>
      </w:tr>
      <w:tr w:rsidR="00D105F0" w14:paraId="40098FD4" w14:textId="77777777">
        <w:tc>
          <w:tcPr>
            <w:tcW w:w="1632" w:type="dxa"/>
            <w:shd w:val="clear" w:color="auto" w:fill="auto"/>
          </w:tcPr>
          <w:p w14:paraId="0CB9306B" w14:textId="77777777" w:rsidR="00D105F0" w:rsidRDefault="00162657">
            <w:pPr>
              <w:widowControl w:val="0"/>
              <w:rPr>
                <w:rFonts w:ascii="Arial" w:eastAsia="Arial" w:hAnsi="Arial" w:cs="Arial"/>
                <w:b/>
                <w:sz w:val="20"/>
                <w:szCs w:val="20"/>
              </w:rPr>
            </w:pPr>
            <w:r>
              <w:rPr>
                <w:rFonts w:ascii="Arial" w:eastAsia="Arial" w:hAnsi="Arial" w:cs="Arial"/>
                <w:b/>
                <w:sz w:val="20"/>
                <w:szCs w:val="20"/>
              </w:rPr>
              <w:t>Events of Default</w:t>
            </w:r>
          </w:p>
        </w:tc>
        <w:tc>
          <w:tcPr>
            <w:tcW w:w="7579" w:type="dxa"/>
            <w:shd w:val="clear" w:color="auto" w:fill="auto"/>
          </w:tcPr>
          <w:p w14:paraId="37833809"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The Definitive Agreements will set out customary events of default and consequences, including acceleration of exit rights.</w:t>
            </w:r>
          </w:p>
        </w:tc>
      </w:tr>
      <w:tr w:rsidR="00D105F0" w14:paraId="52E68FEC" w14:textId="77777777">
        <w:trPr>
          <w:trHeight w:val="780"/>
        </w:trPr>
        <w:tc>
          <w:tcPr>
            <w:tcW w:w="1632" w:type="dxa"/>
            <w:shd w:val="clear" w:color="auto" w:fill="auto"/>
          </w:tcPr>
          <w:p w14:paraId="49DF9AB2" w14:textId="77777777" w:rsidR="00D105F0" w:rsidRDefault="00162657">
            <w:pPr>
              <w:tabs>
                <w:tab w:val="left" w:pos="-720"/>
                <w:tab w:val="left" w:pos="0"/>
                <w:tab w:val="left" w:pos="720"/>
                <w:tab w:val="left" w:pos="1440"/>
                <w:tab w:val="left" w:pos="2160"/>
              </w:tabs>
              <w:rPr>
                <w:rFonts w:ascii="Arial" w:eastAsia="Arial" w:hAnsi="Arial" w:cs="Arial"/>
                <w:b/>
                <w:sz w:val="20"/>
                <w:szCs w:val="20"/>
              </w:rPr>
            </w:pPr>
            <w:r>
              <w:rPr>
                <w:rFonts w:ascii="Arial" w:eastAsia="Arial" w:hAnsi="Arial" w:cs="Arial"/>
                <w:b/>
                <w:sz w:val="20"/>
                <w:szCs w:val="20"/>
              </w:rPr>
              <w:t>Warranties / covenants/ Indemnities</w:t>
            </w:r>
          </w:p>
        </w:tc>
        <w:tc>
          <w:tcPr>
            <w:tcW w:w="7579" w:type="dxa"/>
            <w:shd w:val="clear" w:color="auto" w:fill="auto"/>
          </w:tcPr>
          <w:p w14:paraId="223E80F9"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Standard representations, warranties, covenants and indemnities will be provided from the Company and Founders to the Investors.</w:t>
            </w:r>
          </w:p>
        </w:tc>
      </w:tr>
      <w:tr w:rsidR="00D105F0" w14:paraId="0F84A8BB" w14:textId="77777777">
        <w:tc>
          <w:tcPr>
            <w:tcW w:w="1632" w:type="dxa"/>
            <w:shd w:val="clear" w:color="auto" w:fill="auto"/>
          </w:tcPr>
          <w:p w14:paraId="722C24CD" w14:textId="77777777" w:rsidR="00D105F0" w:rsidRDefault="00162657">
            <w:pPr>
              <w:tabs>
                <w:tab w:val="left" w:pos="-720"/>
                <w:tab w:val="left" w:pos="0"/>
                <w:tab w:val="left" w:pos="720"/>
                <w:tab w:val="left" w:pos="1440"/>
                <w:tab w:val="left" w:pos="2160"/>
              </w:tabs>
              <w:rPr>
                <w:rFonts w:ascii="Arial" w:eastAsia="Arial" w:hAnsi="Arial" w:cs="Arial"/>
                <w:b/>
                <w:sz w:val="20"/>
                <w:szCs w:val="20"/>
              </w:rPr>
            </w:pPr>
            <w:r>
              <w:rPr>
                <w:rFonts w:ascii="Arial" w:eastAsia="Arial" w:hAnsi="Arial" w:cs="Arial"/>
                <w:b/>
                <w:sz w:val="20"/>
                <w:szCs w:val="20"/>
              </w:rPr>
              <w:t>Auditor</w:t>
            </w:r>
          </w:p>
        </w:tc>
        <w:tc>
          <w:tcPr>
            <w:tcW w:w="7579" w:type="dxa"/>
            <w:shd w:val="clear" w:color="auto" w:fill="auto"/>
          </w:tcPr>
          <w:p w14:paraId="228CC509"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The Company will appoint a statutory auditor or such other auditor as acceptable to the Investors.</w:t>
            </w:r>
          </w:p>
          <w:p w14:paraId="0D6FA7CA"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 xml:space="preserve">The Company will appoint an internal auditor acceptable to the Investors. </w:t>
            </w:r>
          </w:p>
        </w:tc>
      </w:tr>
      <w:tr w:rsidR="00D105F0" w14:paraId="787CAC39" w14:textId="77777777">
        <w:trPr>
          <w:trHeight w:val="780"/>
        </w:trPr>
        <w:tc>
          <w:tcPr>
            <w:tcW w:w="1632" w:type="dxa"/>
            <w:shd w:val="clear" w:color="auto" w:fill="auto"/>
          </w:tcPr>
          <w:p w14:paraId="6F49D82F" w14:textId="77777777" w:rsidR="00D105F0" w:rsidRDefault="00162657">
            <w:pPr>
              <w:tabs>
                <w:tab w:val="left" w:pos="-720"/>
                <w:tab w:val="left" w:pos="0"/>
                <w:tab w:val="left" w:pos="720"/>
                <w:tab w:val="left" w:pos="1440"/>
                <w:tab w:val="left" w:pos="2160"/>
              </w:tabs>
              <w:rPr>
                <w:rFonts w:ascii="Arial" w:eastAsia="Arial" w:hAnsi="Arial" w:cs="Arial"/>
                <w:b/>
                <w:sz w:val="20"/>
                <w:szCs w:val="20"/>
              </w:rPr>
            </w:pPr>
            <w:r>
              <w:rPr>
                <w:rFonts w:ascii="Arial" w:eastAsia="Arial" w:hAnsi="Arial" w:cs="Arial"/>
                <w:b/>
                <w:sz w:val="20"/>
                <w:szCs w:val="20"/>
              </w:rPr>
              <w:t>Information / Inspection Rights</w:t>
            </w:r>
          </w:p>
        </w:tc>
        <w:tc>
          <w:tcPr>
            <w:tcW w:w="7579" w:type="dxa"/>
            <w:shd w:val="clear" w:color="auto" w:fill="auto"/>
          </w:tcPr>
          <w:p w14:paraId="7EF7837F"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The Investors will be entitled to standard information rights, including MIS, monthly, quarterly and annual financials/ reports. The Investors will also be entitled to inspection and audit rights subject to providing reasonable notice.</w:t>
            </w:r>
          </w:p>
        </w:tc>
      </w:tr>
      <w:tr w:rsidR="00D105F0" w14:paraId="1B5C7CF0" w14:textId="77777777">
        <w:tc>
          <w:tcPr>
            <w:tcW w:w="1632" w:type="dxa"/>
            <w:shd w:val="clear" w:color="auto" w:fill="auto"/>
          </w:tcPr>
          <w:p w14:paraId="61E8081B" w14:textId="77777777" w:rsidR="00D105F0" w:rsidRDefault="00162657">
            <w:pPr>
              <w:tabs>
                <w:tab w:val="left" w:pos="-720"/>
                <w:tab w:val="left" w:pos="0"/>
                <w:tab w:val="left" w:pos="720"/>
                <w:tab w:val="left" w:pos="1440"/>
                <w:tab w:val="left" w:pos="2160"/>
              </w:tabs>
              <w:rPr>
                <w:rFonts w:ascii="Arial" w:eastAsia="Arial" w:hAnsi="Arial" w:cs="Arial"/>
                <w:b/>
                <w:sz w:val="20"/>
                <w:szCs w:val="20"/>
              </w:rPr>
            </w:pPr>
            <w:r>
              <w:rPr>
                <w:rFonts w:ascii="Arial" w:eastAsia="Arial" w:hAnsi="Arial" w:cs="Arial"/>
                <w:b/>
                <w:sz w:val="20"/>
                <w:szCs w:val="20"/>
              </w:rPr>
              <w:t>Transfer Rights</w:t>
            </w:r>
          </w:p>
        </w:tc>
        <w:tc>
          <w:tcPr>
            <w:tcW w:w="7579" w:type="dxa"/>
            <w:shd w:val="clear" w:color="auto" w:fill="auto"/>
          </w:tcPr>
          <w:p w14:paraId="1D8BE853" w14:textId="77777777" w:rsidR="00D105F0" w:rsidRDefault="00162657">
            <w:pPr>
              <w:widowControl w:val="0"/>
              <w:rPr>
                <w:rFonts w:ascii="Arial" w:eastAsia="Arial" w:hAnsi="Arial" w:cs="Arial"/>
                <w:sz w:val="20"/>
                <w:szCs w:val="20"/>
                <w:shd w:val="clear" w:color="auto" w:fill="D9EAD3"/>
              </w:rPr>
            </w:pPr>
            <w:r>
              <w:rPr>
                <w:rFonts w:ascii="Arial" w:eastAsia="Arial" w:hAnsi="Arial" w:cs="Arial"/>
                <w:sz w:val="20"/>
                <w:szCs w:val="20"/>
              </w:rPr>
              <w:t xml:space="preserve">The Investors will have the right to freely transfer its shares and assign its rights, except to a list of identified competitors. </w:t>
            </w:r>
          </w:p>
        </w:tc>
      </w:tr>
      <w:tr w:rsidR="00D105F0" w14:paraId="37628B03" w14:textId="77777777">
        <w:trPr>
          <w:trHeight w:val="860"/>
        </w:trPr>
        <w:tc>
          <w:tcPr>
            <w:tcW w:w="1632" w:type="dxa"/>
            <w:shd w:val="clear" w:color="auto" w:fill="auto"/>
          </w:tcPr>
          <w:p w14:paraId="7DD84A60" w14:textId="77777777" w:rsidR="00D105F0" w:rsidRDefault="00162657">
            <w:pPr>
              <w:tabs>
                <w:tab w:val="left" w:pos="-720"/>
                <w:tab w:val="left" w:pos="0"/>
                <w:tab w:val="left" w:pos="720"/>
                <w:tab w:val="left" w:pos="1440"/>
                <w:tab w:val="left" w:pos="2160"/>
              </w:tabs>
              <w:rPr>
                <w:rFonts w:ascii="Arial" w:eastAsia="Arial" w:hAnsi="Arial" w:cs="Arial"/>
                <w:b/>
                <w:sz w:val="20"/>
                <w:szCs w:val="20"/>
              </w:rPr>
            </w:pPr>
            <w:r>
              <w:rPr>
                <w:rFonts w:ascii="Arial" w:eastAsia="Arial" w:hAnsi="Arial" w:cs="Arial"/>
                <w:b/>
                <w:sz w:val="20"/>
                <w:szCs w:val="20"/>
              </w:rPr>
              <w:t>Exclusivity</w:t>
            </w:r>
          </w:p>
        </w:tc>
        <w:tc>
          <w:tcPr>
            <w:tcW w:w="7579" w:type="dxa"/>
            <w:shd w:val="clear" w:color="auto" w:fill="auto"/>
          </w:tcPr>
          <w:p w14:paraId="6DAA3FE8"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For a period of 60 days from the date hereof, the Company and the Founders agree that they will not, directly or indirectly, discuss, or continue to discuss, negotiate or enter into any agreement with any third party for the purpose of raising capital.</w:t>
            </w:r>
          </w:p>
        </w:tc>
      </w:tr>
      <w:tr w:rsidR="00D105F0" w14:paraId="77CD99B8" w14:textId="77777777">
        <w:tc>
          <w:tcPr>
            <w:tcW w:w="1632" w:type="dxa"/>
            <w:shd w:val="clear" w:color="auto" w:fill="auto"/>
          </w:tcPr>
          <w:p w14:paraId="5A7BC2F0" w14:textId="77777777" w:rsidR="00D105F0" w:rsidRDefault="00162657">
            <w:pPr>
              <w:tabs>
                <w:tab w:val="left" w:pos="-720"/>
                <w:tab w:val="left" w:pos="0"/>
                <w:tab w:val="left" w:pos="720"/>
                <w:tab w:val="left" w:pos="1440"/>
                <w:tab w:val="left" w:pos="2160"/>
              </w:tabs>
              <w:rPr>
                <w:rFonts w:ascii="Arial" w:eastAsia="Arial" w:hAnsi="Arial" w:cs="Arial"/>
                <w:b/>
                <w:sz w:val="20"/>
                <w:szCs w:val="20"/>
              </w:rPr>
            </w:pPr>
            <w:r>
              <w:rPr>
                <w:rFonts w:ascii="Arial" w:eastAsia="Arial" w:hAnsi="Arial" w:cs="Arial"/>
                <w:b/>
                <w:sz w:val="20"/>
                <w:szCs w:val="20"/>
              </w:rPr>
              <w:t>Confidentiality &amp; Validity</w:t>
            </w:r>
          </w:p>
        </w:tc>
        <w:tc>
          <w:tcPr>
            <w:tcW w:w="7579" w:type="dxa"/>
            <w:shd w:val="clear" w:color="auto" w:fill="auto"/>
          </w:tcPr>
          <w:p w14:paraId="58F24AA7"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Except as otherwise agreed with the other parties, each party agrees not to disclose the provisions this term sheet or its existence to anyone other than its affiliates and its/ their employees, officers, directors and advisors.</w:t>
            </w:r>
          </w:p>
          <w:p w14:paraId="6226BDDC" w14:textId="77777777" w:rsidR="00D105F0" w:rsidRDefault="00D105F0">
            <w:pPr>
              <w:widowControl w:val="0"/>
              <w:jc w:val="both"/>
              <w:rPr>
                <w:rFonts w:ascii="Arial" w:eastAsia="Arial" w:hAnsi="Arial" w:cs="Arial"/>
                <w:sz w:val="20"/>
                <w:szCs w:val="20"/>
              </w:rPr>
            </w:pPr>
          </w:p>
          <w:p w14:paraId="034E8EEC"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 xml:space="preserve">This term sheet will be valid for 6 months from the date of signing. </w:t>
            </w:r>
          </w:p>
        </w:tc>
      </w:tr>
      <w:tr w:rsidR="00D105F0" w14:paraId="3A28E8C1" w14:textId="77777777">
        <w:trPr>
          <w:trHeight w:val="1920"/>
        </w:trPr>
        <w:tc>
          <w:tcPr>
            <w:tcW w:w="1632" w:type="dxa"/>
            <w:shd w:val="clear" w:color="auto" w:fill="auto"/>
          </w:tcPr>
          <w:p w14:paraId="258F2B92" w14:textId="77777777" w:rsidR="00D105F0" w:rsidRDefault="00162657">
            <w:pPr>
              <w:tabs>
                <w:tab w:val="left" w:pos="-720"/>
                <w:tab w:val="left" w:pos="0"/>
                <w:tab w:val="left" w:pos="720"/>
                <w:tab w:val="left" w:pos="1440"/>
                <w:tab w:val="left" w:pos="2160"/>
              </w:tabs>
              <w:rPr>
                <w:rFonts w:ascii="Arial" w:eastAsia="Arial" w:hAnsi="Arial" w:cs="Arial"/>
                <w:b/>
                <w:sz w:val="20"/>
                <w:szCs w:val="20"/>
              </w:rPr>
            </w:pPr>
            <w:r>
              <w:rPr>
                <w:rFonts w:ascii="Arial" w:eastAsia="Arial" w:hAnsi="Arial" w:cs="Arial"/>
                <w:b/>
                <w:sz w:val="20"/>
                <w:szCs w:val="20"/>
              </w:rPr>
              <w:t>Governing Laws and Dispute Resolution</w:t>
            </w:r>
          </w:p>
        </w:tc>
        <w:tc>
          <w:tcPr>
            <w:tcW w:w="7579" w:type="dxa"/>
            <w:shd w:val="clear" w:color="auto" w:fill="auto"/>
          </w:tcPr>
          <w:p w14:paraId="00875709"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 xml:space="preserve">The laws of India will govern this term sheet and the Definitive Agreements executed pursuant to it. </w:t>
            </w:r>
          </w:p>
          <w:p w14:paraId="6322A353" w14:textId="77777777" w:rsidR="00D105F0" w:rsidRDefault="00162657">
            <w:pPr>
              <w:widowControl w:val="0"/>
              <w:jc w:val="both"/>
              <w:rPr>
                <w:rFonts w:ascii="Arial" w:eastAsia="Arial" w:hAnsi="Arial" w:cs="Arial"/>
                <w:sz w:val="20"/>
                <w:szCs w:val="20"/>
              </w:rPr>
            </w:pPr>
            <w:r>
              <w:rPr>
                <w:rFonts w:ascii="Arial" w:eastAsia="Arial" w:hAnsi="Arial" w:cs="Arial"/>
                <w:sz w:val="20"/>
                <w:szCs w:val="20"/>
              </w:rPr>
              <w:t>All disputes between parties in relation to this term sheet will be subject to arbitration by a sole arbitrator under the SIAC rules. The venue of the arbitration will be Bengaluru.</w:t>
            </w:r>
          </w:p>
          <w:p w14:paraId="42E083B1" w14:textId="77777777" w:rsidR="00D105F0" w:rsidRDefault="00162657">
            <w:pPr>
              <w:widowControl w:val="0"/>
              <w:rPr>
                <w:rFonts w:ascii="Arial" w:eastAsia="Arial" w:hAnsi="Arial" w:cs="Arial"/>
                <w:sz w:val="20"/>
                <w:szCs w:val="20"/>
              </w:rPr>
            </w:pPr>
            <w:r>
              <w:rPr>
                <w:rFonts w:ascii="Arial" w:eastAsia="Arial" w:hAnsi="Arial" w:cs="Arial"/>
                <w:sz w:val="20"/>
                <w:szCs w:val="20"/>
              </w:rPr>
              <w:t>Subject to the arbitration provision above, all disputes between parties in relation to this term sheet will be subject to the exclusive jurisdiction of courts in Bengaluru.</w:t>
            </w:r>
          </w:p>
        </w:tc>
      </w:tr>
    </w:tbl>
    <w:p w14:paraId="4E760A94" w14:textId="77777777" w:rsidR="00D105F0" w:rsidRDefault="00D105F0">
      <w:pPr>
        <w:widowControl w:val="0"/>
        <w:ind w:left="720"/>
        <w:jc w:val="both"/>
        <w:rPr>
          <w:rFonts w:ascii="Arial" w:eastAsia="Arial" w:hAnsi="Arial" w:cs="Arial"/>
          <w:sz w:val="20"/>
          <w:szCs w:val="20"/>
        </w:rPr>
      </w:pPr>
    </w:p>
    <w:p w14:paraId="7BF38073" w14:textId="77777777" w:rsidR="00D105F0" w:rsidRDefault="00D105F0" w:rsidP="002248AA">
      <w:pPr>
        <w:rPr>
          <w:rFonts w:ascii="Arial" w:eastAsia="Arial" w:hAnsi="Arial" w:cs="Arial"/>
          <w:b/>
          <w:sz w:val="20"/>
          <w:szCs w:val="20"/>
        </w:rPr>
      </w:pPr>
    </w:p>
    <w:p w14:paraId="4793A8A6" w14:textId="77777777" w:rsidR="00D105F0" w:rsidRDefault="00D105F0">
      <w:pPr>
        <w:ind w:left="720"/>
        <w:rPr>
          <w:rFonts w:ascii="Arial" w:eastAsia="Arial" w:hAnsi="Arial" w:cs="Arial"/>
          <w:b/>
          <w:sz w:val="20"/>
          <w:szCs w:val="20"/>
        </w:rPr>
      </w:pPr>
    </w:p>
    <w:p w14:paraId="06B9BF4D" w14:textId="79BEA0BB" w:rsidR="00D105F0" w:rsidRDefault="00162657">
      <w:pPr>
        <w:jc w:val="both"/>
        <w:rPr>
          <w:rFonts w:ascii="Arial" w:eastAsia="Arial" w:hAnsi="Arial" w:cs="Arial"/>
          <w:b/>
          <w:sz w:val="20"/>
          <w:szCs w:val="20"/>
        </w:rPr>
      </w:pPr>
      <w:r>
        <w:rPr>
          <w:rFonts w:ascii="Arial" w:eastAsia="Arial" w:hAnsi="Arial" w:cs="Arial"/>
          <w:b/>
          <w:sz w:val="20"/>
          <w:szCs w:val="20"/>
        </w:rPr>
        <w:t xml:space="preserve">SIGNATURE PAGE TO THE TERM SHEET DATED </w:t>
      </w:r>
      <w:r w:rsidR="000C60EA">
        <w:rPr>
          <w:rFonts w:ascii="Arial" w:eastAsia="Arial" w:hAnsi="Arial" w:cs="Arial"/>
          <w:b/>
          <w:sz w:val="20"/>
          <w:szCs w:val="20"/>
        </w:rPr>
        <w:t>___________</w:t>
      </w:r>
      <w:r>
        <w:rPr>
          <w:rFonts w:ascii="Arial" w:eastAsia="Arial" w:hAnsi="Arial" w:cs="Arial"/>
          <w:b/>
          <w:sz w:val="20"/>
          <w:szCs w:val="20"/>
        </w:rPr>
        <w:t xml:space="preserve">. </w:t>
      </w:r>
    </w:p>
    <w:p w14:paraId="1EEC9C08" w14:textId="77777777" w:rsidR="00D105F0" w:rsidRDefault="00D105F0">
      <w:pPr>
        <w:ind w:left="720"/>
        <w:jc w:val="both"/>
        <w:rPr>
          <w:rFonts w:ascii="Arial" w:eastAsia="Arial" w:hAnsi="Arial" w:cs="Arial"/>
          <w:sz w:val="20"/>
          <w:szCs w:val="20"/>
        </w:rPr>
      </w:pPr>
    </w:p>
    <w:p w14:paraId="762A9514" w14:textId="77777777" w:rsidR="00D105F0" w:rsidRDefault="00D105F0">
      <w:pPr>
        <w:ind w:left="720"/>
        <w:jc w:val="both"/>
        <w:rPr>
          <w:rFonts w:ascii="Arial" w:eastAsia="Arial" w:hAnsi="Arial" w:cs="Arial"/>
          <w:sz w:val="20"/>
          <w:szCs w:val="20"/>
        </w:rPr>
      </w:pPr>
    </w:p>
    <w:p w14:paraId="5AA6069E" w14:textId="41DBFC67" w:rsidR="00D105F0" w:rsidRDefault="00162657">
      <w:pPr>
        <w:jc w:val="both"/>
        <w:rPr>
          <w:rFonts w:ascii="Arial" w:eastAsia="Arial" w:hAnsi="Arial" w:cs="Arial"/>
          <w:sz w:val="20"/>
          <w:szCs w:val="20"/>
        </w:rPr>
      </w:pPr>
      <w:r>
        <w:rPr>
          <w:rFonts w:ascii="Arial" w:eastAsia="Arial" w:hAnsi="Arial" w:cs="Arial"/>
          <w:b/>
          <w:color w:val="222222"/>
          <w:sz w:val="20"/>
          <w:szCs w:val="20"/>
          <w:highlight w:val="white"/>
        </w:rPr>
        <w:t xml:space="preserve">For </w:t>
      </w:r>
      <w:proofErr w:type="gramStart"/>
      <w:r w:rsidR="002248AA">
        <w:rPr>
          <w:rFonts w:ascii="Arial" w:eastAsia="Arial" w:hAnsi="Arial" w:cs="Arial"/>
          <w:b/>
          <w:color w:val="222222"/>
          <w:sz w:val="20"/>
          <w:szCs w:val="20"/>
        </w:rPr>
        <w:t>The</w:t>
      </w:r>
      <w:proofErr w:type="gramEnd"/>
      <w:r w:rsidR="002248AA">
        <w:rPr>
          <w:rFonts w:ascii="Arial" w:eastAsia="Arial" w:hAnsi="Arial" w:cs="Arial"/>
          <w:b/>
          <w:color w:val="222222"/>
          <w:sz w:val="20"/>
          <w:szCs w:val="20"/>
        </w:rPr>
        <w:t xml:space="preserve"> Company</w:t>
      </w:r>
      <w:r>
        <w:rPr>
          <w:rFonts w:ascii="Arial" w:eastAsia="Arial" w:hAnsi="Arial" w:cs="Arial"/>
          <w:b/>
          <w:sz w:val="20"/>
          <w:szCs w:val="20"/>
        </w:rPr>
        <w:t>.</w:t>
      </w:r>
    </w:p>
    <w:p w14:paraId="2E58BA09" w14:textId="77777777" w:rsidR="00D105F0" w:rsidRDefault="00D105F0">
      <w:pPr>
        <w:ind w:left="720"/>
        <w:jc w:val="both"/>
        <w:rPr>
          <w:rFonts w:ascii="Arial" w:eastAsia="Arial" w:hAnsi="Arial" w:cs="Arial"/>
          <w:sz w:val="20"/>
          <w:szCs w:val="20"/>
        </w:rPr>
      </w:pPr>
    </w:p>
    <w:p w14:paraId="1CE5AE8F" w14:textId="77777777" w:rsidR="00D105F0" w:rsidRDefault="00D105F0">
      <w:pPr>
        <w:ind w:left="720"/>
        <w:jc w:val="both"/>
        <w:rPr>
          <w:rFonts w:ascii="Arial" w:eastAsia="Arial" w:hAnsi="Arial" w:cs="Arial"/>
          <w:sz w:val="20"/>
          <w:szCs w:val="20"/>
        </w:rPr>
      </w:pPr>
    </w:p>
    <w:p w14:paraId="32665BC6" w14:textId="77777777" w:rsidR="00D105F0" w:rsidRDefault="00D105F0">
      <w:pPr>
        <w:ind w:left="720"/>
        <w:jc w:val="both"/>
        <w:rPr>
          <w:rFonts w:ascii="Arial" w:eastAsia="Arial" w:hAnsi="Arial" w:cs="Arial"/>
          <w:sz w:val="20"/>
          <w:szCs w:val="20"/>
        </w:rPr>
      </w:pPr>
    </w:p>
    <w:p w14:paraId="1BDB7AC5" w14:textId="77777777" w:rsidR="00D105F0" w:rsidRDefault="00162657">
      <w:pPr>
        <w:jc w:val="both"/>
        <w:rPr>
          <w:rFonts w:ascii="Arial" w:eastAsia="Arial" w:hAnsi="Arial" w:cs="Arial"/>
          <w:sz w:val="20"/>
          <w:szCs w:val="20"/>
          <w:u w:val="single"/>
        </w:rPr>
      </w:pPr>
      <w:r>
        <w:rPr>
          <w:rFonts w:ascii="Arial" w:eastAsia="Arial" w:hAnsi="Arial" w:cs="Arial"/>
          <w:sz w:val="20"/>
          <w:szCs w:val="20"/>
        </w:rPr>
        <w:t>__________________________</w:t>
      </w:r>
    </w:p>
    <w:p w14:paraId="4E01A81D" w14:textId="77777777" w:rsidR="00D105F0" w:rsidRDefault="00162657">
      <w:pPr>
        <w:jc w:val="both"/>
        <w:rPr>
          <w:rFonts w:ascii="Arial" w:eastAsia="Arial" w:hAnsi="Arial" w:cs="Arial"/>
          <w:sz w:val="20"/>
          <w:szCs w:val="20"/>
        </w:rPr>
      </w:pPr>
      <w:r>
        <w:rPr>
          <w:rFonts w:ascii="Arial" w:eastAsia="Arial" w:hAnsi="Arial" w:cs="Arial"/>
          <w:sz w:val="20"/>
          <w:szCs w:val="20"/>
        </w:rPr>
        <w:t xml:space="preserve">Name: </w:t>
      </w:r>
    </w:p>
    <w:p w14:paraId="309B447E" w14:textId="77777777" w:rsidR="00D105F0" w:rsidRDefault="00162657">
      <w:pPr>
        <w:jc w:val="both"/>
        <w:rPr>
          <w:rFonts w:ascii="Arial" w:eastAsia="Arial" w:hAnsi="Arial" w:cs="Arial"/>
          <w:sz w:val="20"/>
          <w:szCs w:val="20"/>
        </w:rPr>
      </w:pPr>
      <w:r>
        <w:rPr>
          <w:rFonts w:ascii="Arial" w:eastAsia="Arial" w:hAnsi="Arial" w:cs="Arial"/>
          <w:sz w:val="20"/>
          <w:szCs w:val="20"/>
        </w:rPr>
        <w:t>Authorised Signatory</w:t>
      </w:r>
    </w:p>
    <w:p w14:paraId="4F9F5516" w14:textId="77777777" w:rsidR="00D105F0" w:rsidRDefault="00D105F0">
      <w:pPr>
        <w:ind w:left="720"/>
        <w:jc w:val="both"/>
        <w:rPr>
          <w:rFonts w:ascii="Arial" w:eastAsia="Arial" w:hAnsi="Arial" w:cs="Arial"/>
          <w:sz w:val="20"/>
          <w:szCs w:val="20"/>
        </w:rPr>
      </w:pPr>
    </w:p>
    <w:p w14:paraId="2E90197D" w14:textId="77777777" w:rsidR="00D105F0" w:rsidRDefault="00D105F0">
      <w:pPr>
        <w:jc w:val="both"/>
        <w:rPr>
          <w:rFonts w:ascii="Arial" w:eastAsia="Arial" w:hAnsi="Arial" w:cs="Arial"/>
          <w:sz w:val="20"/>
          <w:szCs w:val="20"/>
        </w:rPr>
      </w:pPr>
    </w:p>
    <w:p w14:paraId="692EAAD9" w14:textId="77777777" w:rsidR="00D105F0" w:rsidRDefault="00162657">
      <w:pPr>
        <w:jc w:val="both"/>
        <w:rPr>
          <w:rFonts w:ascii="Arial" w:eastAsia="Arial" w:hAnsi="Arial" w:cs="Arial"/>
          <w:b/>
          <w:sz w:val="20"/>
          <w:szCs w:val="20"/>
        </w:rPr>
      </w:pPr>
      <w:r>
        <w:rPr>
          <w:rFonts w:ascii="Arial" w:eastAsia="Arial" w:hAnsi="Arial" w:cs="Arial"/>
          <w:b/>
          <w:sz w:val="20"/>
          <w:szCs w:val="20"/>
        </w:rPr>
        <w:t>Founder 1</w:t>
      </w:r>
    </w:p>
    <w:p w14:paraId="3E5D29E3" w14:textId="77777777" w:rsidR="00D105F0" w:rsidRDefault="00D105F0">
      <w:pPr>
        <w:jc w:val="both"/>
        <w:rPr>
          <w:rFonts w:ascii="Arial" w:eastAsia="Arial" w:hAnsi="Arial" w:cs="Arial"/>
          <w:b/>
          <w:sz w:val="20"/>
          <w:szCs w:val="20"/>
        </w:rPr>
      </w:pPr>
    </w:p>
    <w:p w14:paraId="171CC841" w14:textId="77777777" w:rsidR="00D105F0" w:rsidRDefault="00D105F0">
      <w:pPr>
        <w:ind w:left="720"/>
        <w:jc w:val="both"/>
        <w:rPr>
          <w:rFonts w:ascii="Arial" w:eastAsia="Arial" w:hAnsi="Arial" w:cs="Arial"/>
          <w:sz w:val="20"/>
          <w:szCs w:val="20"/>
        </w:rPr>
      </w:pPr>
    </w:p>
    <w:p w14:paraId="463B1079" w14:textId="77777777" w:rsidR="00D105F0" w:rsidRDefault="00D105F0">
      <w:pPr>
        <w:ind w:left="720"/>
        <w:jc w:val="both"/>
        <w:rPr>
          <w:rFonts w:ascii="Arial" w:eastAsia="Arial" w:hAnsi="Arial" w:cs="Arial"/>
          <w:sz w:val="20"/>
          <w:szCs w:val="20"/>
        </w:rPr>
      </w:pPr>
    </w:p>
    <w:p w14:paraId="62F3C7E6" w14:textId="77777777" w:rsidR="00D105F0" w:rsidRDefault="00162657">
      <w:pPr>
        <w:jc w:val="both"/>
        <w:rPr>
          <w:rFonts w:ascii="Arial" w:eastAsia="Arial" w:hAnsi="Arial" w:cs="Arial"/>
          <w:sz w:val="20"/>
          <w:szCs w:val="20"/>
          <w:u w:val="single"/>
        </w:rPr>
      </w:pPr>
      <w:r>
        <w:rPr>
          <w:rFonts w:ascii="Arial" w:eastAsia="Arial" w:hAnsi="Arial" w:cs="Arial"/>
          <w:sz w:val="20"/>
          <w:szCs w:val="20"/>
        </w:rPr>
        <w:t>__________________________</w:t>
      </w:r>
    </w:p>
    <w:p w14:paraId="3D48A982" w14:textId="511DF304" w:rsidR="00D105F0" w:rsidRDefault="002248AA">
      <w:pPr>
        <w:jc w:val="both"/>
        <w:rPr>
          <w:rFonts w:ascii="Arial" w:eastAsia="Arial" w:hAnsi="Arial" w:cs="Arial"/>
          <w:sz w:val="20"/>
          <w:szCs w:val="20"/>
        </w:rPr>
      </w:pPr>
      <w:r>
        <w:rPr>
          <w:rFonts w:ascii="Arial" w:eastAsia="Arial" w:hAnsi="Arial" w:cs="Arial"/>
          <w:sz w:val="20"/>
          <w:szCs w:val="20"/>
        </w:rPr>
        <w:t>Founder</w:t>
      </w:r>
    </w:p>
    <w:p w14:paraId="279BA9BC" w14:textId="77777777" w:rsidR="00D105F0" w:rsidRDefault="00162657">
      <w:pPr>
        <w:jc w:val="both"/>
        <w:rPr>
          <w:rFonts w:ascii="Arial" w:eastAsia="Arial" w:hAnsi="Arial" w:cs="Arial"/>
          <w:sz w:val="20"/>
          <w:szCs w:val="20"/>
        </w:rPr>
      </w:pPr>
      <w:r>
        <w:rPr>
          <w:rFonts w:ascii="Arial" w:eastAsia="Arial" w:hAnsi="Arial" w:cs="Arial"/>
          <w:sz w:val="20"/>
          <w:szCs w:val="20"/>
        </w:rPr>
        <w:t>Authorised Signatory</w:t>
      </w:r>
    </w:p>
    <w:p w14:paraId="19CB4C0B" w14:textId="77777777" w:rsidR="00D105F0" w:rsidRDefault="00D105F0">
      <w:pPr>
        <w:ind w:left="720"/>
        <w:jc w:val="both"/>
        <w:rPr>
          <w:rFonts w:ascii="Arial" w:eastAsia="Arial" w:hAnsi="Arial" w:cs="Arial"/>
          <w:sz w:val="20"/>
          <w:szCs w:val="20"/>
        </w:rPr>
      </w:pPr>
    </w:p>
    <w:p w14:paraId="2731050F" w14:textId="77777777" w:rsidR="00D105F0" w:rsidRDefault="00D105F0">
      <w:pPr>
        <w:ind w:left="720"/>
        <w:jc w:val="both"/>
        <w:rPr>
          <w:rFonts w:ascii="Arial" w:eastAsia="Arial" w:hAnsi="Arial" w:cs="Arial"/>
          <w:sz w:val="20"/>
          <w:szCs w:val="20"/>
        </w:rPr>
      </w:pPr>
    </w:p>
    <w:p w14:paraId="1E9BD9BB" w14:textId="77777777" w:rsidR="00D105F0" w:rsidRDefault="00162657">
      <w:pPr>
        <w:jc w:val="both"/>
        <w:rPr>
          <w:rFonts w:ascii="Arial" w:eastAsia="Arial" w:hAnsi="Arial" w:cs="Arial"/>
          <w:b/>
          <w:sz w:val="20"/>
          <w:szCs w:val="20"/>
        </w:rPr>
      </w:pPr>
      <w:r>
        <w:rPr>
          <w:rFonts w:ascii="Arial" w:eastAsia="Arial" w:hAnsi="Arial" w:cs="Arial"/>
          <w:b/>
          <w:sz w:val="20"/>
          <w:szCs w:val="20"/>
        </w:rPr>
        <w:lastRenderedPageBreak/>
        <w:t>Founder 2</w:t>
      </w:r>
    </w:p>
    <w:p w14:paraId="5BFCA722" w14:textId="77777777" w:rsidR="00D105F0" w:rsidRDefault="00D105F0">
      <w:pPr>
        <w:jc w:val="both"/>
        <w:rPr>
          <w:rFonts w:ascii="Arial" w:eastAsia="Arial" w:hAnsi="Arial" w:cs="Arial"/>
          <w:b/>
          <w:sz w:val="20"/>
          <w:szCs w:val="20"/>
        </w:rPr>
      </w:pPr>
    </w:p>
    <w:p w14:paraId="06A4B925" w14:textId="77777777" w:rsidR="00D105F0" w:rsidRDefault="00D105F0">
      <w:pPr>
        <w:jc w:val="both"/>
        <w:rPr>
          <w:rFonts w:ascii="Arial" w:eastAsia="Arial" w:hAnsi="Arial" w:cs="Arial"/>
          <w:b/>
          <w:sz w:val="20"/>
          <w:szCs w:val="20"/>
        </w:rPr>
      </w:pPr>
    </w:p>
    <w:p w14:paraId="785F623B" w14:textId="77777777" w:rsidR="00D105F0" w:rsidRDefault="00D105F0">
      <w:pPr>
        <w:ind w:left="720"/>
        <w:jc w:val="both"/>
        <w:rPr>
          <w:rFonts w:ascii="Arial" w:eastAsia="Arial" w:hAnsi="Arial" w:cs="Arial"/>
          <w:sz w:val="20"/>
          <w:szCs w:val="20"/>
        </w:rPr>
      </w:pPr>
    </w:p>
    <w:p w14:paraId="3BC67157" w14:textId="1BD83103" w:rsidR="00D105F0" w:rsidRDefault="00D105F0">
      <w:pPr>
        <w:pBdr>
          <w:bottom w:val="single" w:sz="12" w:space="1" w:color="auto"/>
        </w:pBdr>
        <w:jc w:val="both"/>
        <w:rPr>
          <w:rFonts w:ascii="Arial" w:eastAsia="Arial" w:hAnsi="Arial" w:cs="Arial"/>
          <w:sz w:val="20"/>
          <w:szCs w:val="20"/>
          <w:u w:val="single"/>
        </w:rPr>
      </w:pPr>
    </w:p>
    <w:p w14:paraId="764DA5A2" w14:textId="0F98AA25" w:rsidR="002248AA" w:rsidRPr="002248AA" w:rsidRDefault="002248AA">
      <w:pPr>
        <w:pBdr>
          <w:top w:val="none" w:sz="0" w:space="0" w:color="auto"/>
        </w:pBdr>
        <w:jc w:val="both"/>
        <w:rPr>
          <w:rFonts w:ascii="Arial" w:eastAsia="Arial" w:hAnsi="Arial" w:cs="Arial"/>
          <w:sz w:val="20"/>
          <w:szCs w:val="20"/>
          <w:u w:val="single"/>
        </w:rPr>
      </w:pPr>
      <w:r>
        <w:rPr>
          <w:rFonts w:ascii="Arial" w:eastAsia="Arial" w:hAnsi="Arial" w:cs="Arial"/>
          <w:sz w:val="20"/>
          <w:szCs w:val="20"/>
          <w:u w:val="single"/>
        </w:rPr>
        <w:t>Founder</w:t>
      </w:r>
    </w:p>
    <w:p w14:paraId="46F6E727" w14:textId="77777777" w:rsidR="00D105F0" w:rsidRDefault="00162657">
      <w:pPr>
        <w:jc w:val="both"/>
        <w:rPr>
          <w:rFonts w:ascii="Arial" w:eastAsia="Arial" w:hAnsi="Arial" w:cs="Arial"/>
          <w:sz w:val="20"/>
          <w:szCs w:val="20"/>
        </w:rPr>
      </w:pPr>
      <w:r>
        <w:rPr>
          <w:rFonts w:ascii="Arial" w:eastAsia="Arial" w:hAnsi="Arial" w:cs="Arial"/>
          <w:sz w:val="20"/>
          <w:szCs w:val="20"/>
        </w:rPr>
        <w:t>Authorised Signatory</w:t>
      </w:r>
    </w:p>
    <w:p w14:paraId="090EA720" w14:textId="77777777" w:rsidR="00D105F0" w:rsidRDefault="00D105F0">
      <w:pPr>
        <w:ind w:left="720"/>
        <w:jc w:val="both"/>
        <w:rPr>
          <w:rFonts w:ascii="Arial" w:eastAsia="Arial" w:hAnsi="Arial" w:cs="Arial"/>
          <w:sz w:val="20"/>
          <w:szCs w:val="20"/>
        </w:rPr>
      </w:pPr>
    </w:p>
    <w:p w14:paraId="122E35F1" w14:textId="77777777" w:rsidR="00D105F0" w:rsidRDefault="00D105F0">
      <w:pPr>
        <w:ind w:left="720"/>
        <w:jc w:val="both"/>
        <w:rPr>
          <w:rFonts w:ascii="Arial" w:eastAsia="Arial" w:hAnsi="Arial" w:cs="Arial"/>
          <w:sz w:val="20"/>
          <w:szCs w:val="20"/>
        </w:rPr>
      </w:pPr>
    </w:p>
    <w:p w14:paraId="22FBE2B5" w14:textId="77777777" w:rsidR="00D105F0" w:rsidRDefault="00D105F0">
      <w:pPr>
        <w:ind w:left="720"/>
        <w:jc w:val="both"/>
        <w:rPr>
          <w:rFonts w:ascii="Arial" w:eastAsia="Arial" w:hAnsi="Arial" w:cs="Arial"/>
          <w:sz w:val="20"/>
          <w:szCs w:val="20"/>
        </w:rPr>
      </w:pPr>
    </w:p>
    <w:p w14:paraId="34350761" w14:textId="77777777" w:rsidR="00D105F0" w:rsidRDefault="00D105F0">
      <w:pPr>
        <w:ind w:left="720"/>
        <w:jc w:val="both"/>
        <w:rPr>
          <w:rFonts w:ascii="Arial" w:eastAsia="Arial" w:hAnsi="Arial" w:cs="Arial"/>
          <w:sz w:val="20"/>
          <w:szCs w:val="20"/>
        </w:rPr>
      </w:pPr>
    </w:p>
    <w:p w14:paraId="7168F4F8" w14:textId="77777777" w:rsidR="00D105F0" w:rsidRDefault="00D105F0">
      <w:pPr>
        <w:widowControl w:val="0"/>
        <w:ind w:left="720"/>
        <w:jc w:val="both"/>
        <w:rPr>
          <w:rFonts w:ascii="Arial" w:eastAsia="Arial" w:hAnsi="Arial" w:cs="Arial"/>
          <w:sz w:val="20"/>
          <w:szCs w:val="20"/>
        </w:rPr>
      </w:pPr>
    </w:p>
    <w:p w14:paraId="628ABB0A" w14:textId="5BCF2CD2" w:rsidR="00D105F0" w:rsidRDefault="000C60EA">
      <w:pPr>
        <w:jc w:val="both"/>
        <w:rPr>
          <w:rFonts w:ascii="Arial" w:eastAsia="Arial" w:hAnsi="Arial" w:cs="Arial"/>
          <w:b/>
          <w:sz w:val="20"/>
          <w:szCs w:val="20"/>
        </w:rPr>
      </w:pPr>
      <w:bookmarkStart w:id="0" w:name="_30j0zll" w:colFirst="0" w:colLast="0"/>
      <w:bookmarkEnd w:id="0"/>
      <w:r>
        <w:rPr>
          <w:rFonts w:ascii="Arial" w:eastAsia="Arial" w:hAnsi="Arial" w:cs="Arial"/>
          <w:b/>
          <w:sz w:val="20"/>
          <w:szCs w:val="20"/>
        </w:rPr>
        <w:t>Investors</w:t>
      </w:r>
      <w:r w:rsidR="00162657">
        <w:rPr>
          <w:rFonts w:ascii="Arial" w:eastAsia="Arial" w:hAnsi="Arial" w:cs="Arial"/>
          <w:b/>
          <w:sz w:val="20"/>
          <w:szCs w:val="20"/>
        </w:rPr>
        <w:tab/>
      </w:r>
      <w:r w:rsidR="00162657">
        <w:rPr>
          <w:rFonts w:ascii="Arial" w:eastAsia="Arial" w:hAnsi="Arial" w:cs="Arial"/>
          <w:b/>
          <w:sz w:val="20"/>
          <w:szCs w:val="20"/>
        </w:rPr>
        <w:tab/>
      </w:r>
      <w:r w:rsidR="00162657">
        <w:rPr>
          <w:rFonts w:ascii="Arial" w:eastAsia="Arial" w:hAnsi="Arial" w:cs="Arial"/>
          <w:b/>
          <w:sz w:val="20"/>
          <w:szCs w:val="20"/>
        </w:rPr>
        <w:tab/>
      </w:r>
    </w:p>
    <w:p w14:paraId="7F364CAA" w14:textId="77777777" w:rsidR="00D105F0" w:rsidRDefault="00D105F0">
      <w:pPr>
        <w:ind w:left="720"/>
        <w:jc w:val="both"/>
        <w:rPr>
          <w:rFonts w:ascii="Arial" w:eastAsia="Arial" w:hAnsi="Arial" w:cs="Arial"/>
          <w:sz w:val="20"/>
          <w:szCs w:val="20"/>
        </w:rPr>
      </w:pPr>
    </w:p>
    <w:p w14:paraId="61281463" w14:textId="77777777" w:rsidR="00D105F0" w:rsidRDefault="00D105F0">
      <w:pPr>
        <w:ind w:left="720"/>
        <w:jc w:val="both"/>
        <w:rPr>
          <w:rFonts w:ascii="Arial" w:eastAsia="Arial" w:hAnsi="Arial" w:cs="Arial"/>
          <w:sz w:val="20"/>
          <w:szCs w:val="20"/>
        </w:rPr>
      </w:pPr>
    </w:p>
    <w:p w14:paraId="59A2F2E7" w14:textId="77777777" w:rsidR="00D105F0" w:rsidRDefault="00D105F0">
      <w:pPr>
        <w:ind w:left="720"/>
        <w:jc w:val="both"/>
        <w:rPr>
          <w:rFonts w:ascii="Arial" w:eastAsia="Arial" w:hAnsi="Arial" w:cs="Arial"/>
          <w:sz w:val="20"/>
          <w:szCs w:val="20"/>
        </w:rPr>
      </w:pPr>
    </w:p>
    <w:p w14:paraId="5B4D790F" w14:textId="77777777" w:rsidR="00D105F0" w:rsidRDefault="00162657">
      <w:pPr>
        <w:jc w:val="both"/>
        <w:rPr>
          <w:rFonts w:ascii="Arial" w:eastAsia="Arial" w:hAnsi="Arial" w:cs="Arial"/>
          <w:sz w:val="20"/>
          <w:szCs w:val="20"/>
          <w:u w:val="single"/>
        </w:rPr>
      </w:pPr>
      <w:r>
        <w:rPr>
          <w:rFonts w:ascii="Arial" w:eastAsia="Arial" w:hAnsi="Arial" w:cs="Arial"/>
          <w:sz w:val="20"/>
          <w:szCs w:val="20"/>
        </w:rPr>
        <w:t>__________________________</w:t>
      </w:r>
    </w:p>
    <w:p w14:paraId="462A18EE" w14:textId="35F765E2" w:rsidR="00D105F0" w:rsidRDefault="00162657">
      <w:pPr>
        <w:jc w:val="both"/>
        <w:rPr>
          <w:rFonts w:ascii="Arial" w:eastAsia="Arial" w:hAnsi="Arial" w:cs="Arial"/>
          <w:sz w:val="20"/>
          <w:szCs w:val="20"/>
        </w:rPr>
      </w:pPr>
      <w:r>
        <w:rPr>
          <w:rFonts w:ascii="Arial" w:eastAsia="Arial" w:hAnsi="Arial" w:cs="Arial"/>
          <w:sz w:val="20"/>
          <w:szCs w:val="20"/>
        </w:rPr>
        <w:t xml:space="preserve">Name: </w:t>
      </w:r>
    </w:p>
    <w:p w14:paraId="580B2C30" w14:textId="77777777" w:rsidR="00D105F0" w:rsidRDefault="00162657">
      <w:pPr>
        <w:jc w:val="both"/>
        <w:rPr>
          <w:rFonts w:ascii="Arial" w:eastAsia="Arial" w:hAnsi="Arial" w:cs="Arial"/>
          <w:sz w:val="20"/>
          <w:szCs w:val="20"/>
        </w:rPr>
      </w:pPr>
      <w:r>
        <w:rPr>
          <w:rFonts w:ascii="Arial" w:eastAsia="Arial" w:hAnsi="Arial" w:cs="Arial"/>
          <w:sz w:val="20"/>
          <w:szCs w:val="20"/>
        </w:rPr>
        <w:t>Authorised Signatory</w:t>
      </w:r>
    </w:p>
    <w:p w14:paraId="3FAB2373" w14:textId="77777777" w:rsidR="00D105F0" w:rsidRDefault="00D105F0">
      <w:pPr>
        <w:jc w:val="both"/>
        <w:rPr>
          <w:rFonts w:ascii="Arial" w:eastAsia="Arial" w:hAnsi="Arial" w:cs="Arial"/>
          <w:b/>
          <w:sz w:val="20"/>
          <w:szCs w:val="20"/>
        </w:rPr>
      </w:pPr>
    </w:p>
    <w:p w14:paraId="237BCFD7" w14:textId="77777777" w:rsidR="00D105F0" w:rsidRDefault="00D105F0">
      <w:pPr>
        <w:ind w:left="720"/>
        <w:jc w:val="center"/>
        <w:rPr>
          <w:rFonts w:ascii="Arial" w:eastAsia="Arial" w:hAnsi="Arial" w:cs="Arial"/>
          <w:b/>
          <w:sz w:val="20"/>
          <w:szCs w:val="20"/>
        </w:rPr>
      </w:pPr>
    </w:p>
    <w:p w14:paraId="5FE13582" w14:textId="77777777" w:rsidR="00D105F0" w:rsidRDefault="00D105F0">
      <w:pPr>
        <w:ind w:left="720"/>
        <w:jc w:val="center"/>
        <w:rPr>
          <w:rFonts w:ascii="Arial" w:eastAsia="Arial" w:hAnsi="Arial" w:cs="Arial"/>
          <w:b/>
          <w:sz w:val="20"/>
          <w:szCs w:val="20"/>
        </w:rPr>
      </w:pPr>
    </w:p>
    <w:p w14:paraId="08C3C5F5" w14:textId="77777777" w:rsidR="000C60EA" w:rsidRDefault="000C60EA" w:rsidP="000C60EA">
      <w:pPr>
        <w:jc w:val="both"/>
        <w:rPr>
          <w:rFonts w:ascii="Arial" w:eastAsia="Arial" w:hAnsi="Arial" w:cs="Arial"/>
          <w:b/>
          <w:sz w:val="20"/>
          <w:szCs w:val="20"/>
        </w:rPr>
      </w:pPr>
      <w:r>
        <w:rPr>
          <w:rFonts w:ascii="Arial" w:eastAsia="Arial" w:hAnsi="Arial" w:cs="Arial"/>
          <w:b/>
          <w:sz w:val="20"/>
          <w:szCs w:val="20"/>
        </w:rPr>
        <w:t>Investors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14:paraId="598DF9FB" w14:textId="77777777" w:rsidR="000C60EA" w:rsidRDefault="000C60EA" w:rsidP="000C60EA">
      <w:pPr>
        <w:ind w:left="720"/>
        <w:jc w:val="both"/>
        <w:rPr>
          <w:rFonts w:ascii="Arial" w:eastAsia="Arial" w:hAnsi="Arial" w:cs="Arial"/>
          <w:sz w:val="20"/>
          <w:szCs w:val="20"/>
        </w:rPr>
      </w:pPr>
    </w:p>
    <w:p w14:paraId="36BBF1F1" w14:textId="77777777" w:rsidR="000C60EA" w:rsidRDefault="000C60EA" w:rsidP="000C60EA">
      <w:pPr>
        <w:ind w:left="720"/>
        <w:jc w:val="both"/>
        <w:rPr>
          <w:rFonts w:ascii="Arial" w:eastAsia="Arial" w:hAnsi="Arial" w:cs="Arial"/>
          <w:sz w:val="20"/>
          <w:szCs w:val="20"/>
        </w:rPr>
      </w:pPr>
    </w:p>
    <w:p w14:paraId="633D89A2" w14:textId="77777777" w:rsidR="000C60EA" w:rsidRDefault="000C60EA" w:rsidP="000C60EA">
      <w:pPr>
        <w:ind w:left="720"/>
        <w:jc w:val="both"/>
        <w:rPr>
          <w:rFonts w:ascii="Arial" w:eastAsia="Arial" w:hAnsi="Arial" w:cs="Arial"/>
          <w:sz w:val="20"/>
          <w:szCs w:val="20"/>
        </w:rPr>
      </w:pPr>
    </w:p>
    <w:p w14:paraId="4AD5F8F2" w14:textId="77777777" w:rsidR="000C60EA" w:rsidRDefault="000C60EA" w:rsidP="000C60EA">
      <w:pPr>
        <w:jc w:val="both"/>
        <w:rPr>
          <w:rFonts w:ascii="Arial" w:eastAsia="Arial" w:hAnsi="Arial" w:cs="Arial"/>
          <w:sz w:val="20"/>
          <w:szCs w:val="20"/>
          <w:u w:val="single"/>
        </w:rPr>
      </w:pPr>
      <w:r>
        <w:rPr>
          <w:rFonts w:ascii="Arial" w:eastAsia="Arial" w:hAnsi="Arial" w:cs="Arial"/>
          <w:sz w:val="20"/>
          <w:szCs w:val="20"/>
        </w:rPr>
        <w:t>__________________________</w:t>
      </w:r>
    </w:p>
    <w:p w14:paraId="0DBC47BD" w14:textId="77777777" w:rsidR="000C60EA" w:rsidRDefault="000C60EA" w:rsidP="000C60EA">
      <w:pPr>
        <w:jc w:val="both"/>
        <w:rPr>
          <w:rFonts w:ascii="Arial" w:eastAsia="Arial" w:hAnsi="Arial" w:cs="Arial"/>
          <w:sz w:val="20"/>
          <w:szCs w:val="20"/>
        </w:rPr>
      </w:pPr>
      <w:r>
        <w:rPr>
          <w:rFonts w:ascii="Arial" w:eastAsia="Arial" w:hAnsi="Arial" w:cs="Arial"/>
          <w:sz w:val="20"/>
          <w:szCs w:val="20"/>
        </w:rPr>
        <w:t xml:space="preserve">Name: </w:t>
      </w:r>
    </w:p>
    <w:p w14:paraId="0B18DFC0" w14:textId="77777777" w:rsidR="000C60EA" w:rsidRDefault="000C60EA" w:rsidP="000C60EA">
      <w:pPr>
        <w:jc w:val="both"/>
        <w:rPr>
          <w:rFonts w:ascii="Arial" w:eastAsia="Arial" w:hAnsi="Arial" w:cs="Arial"/>
          <w:sz w:val="20"/>
          <w:szCs w:val="20"/>
        </w:rPr>
      </w:pPr>
      <w:r>
        <w:rPr>
          <w:rFonts w:ascii="Arial" w:eastAsia="Arial" w:hAnsi="Arial" w:cs="Arial"/>
          <w:sz w:val="20"/>
          <w:szCs w:val="20"/>
        </w:rPr>
        <w:t>Authorised Signatory</w:t>
      </w:r>
    </w:p>
    <w:p w14:paraId="5B7F2367" w14:textId="544C842B" w:rsidR="00D105F0" w:rsidRDefault="00162657" w:rsidP="000C60EA">
      <w:pPr>
        <w:pBdr>
          <w:top w:val="nil"/>
          <w:left w:val="nil"/>
          <w:bottom w:val="nil"/>
          <w:right w:val="nil"/>
          <w:between w:val="nil"/>
        </w:pBdr>
        <w:rPr>
          <w:rFonts w:ascii="Arial" w:eastAsia="Arial" w:hAnsi="Arial" w:cs="Arial"/>
          <w:b/>
          <w:sz w:val="20"/>
          <w:szCs w:val="20"/>
          <w:u w:val="single"/>
        </w:rPr>
      </w:pPr>
      <w:r>
        <w:br w:type="page"/>
      </w:r>
    </w:p>
    <w:p w14:paraId="377E1A8F" w14:textId="77777777" w:rsidR="00D105F0" w:rsidRDefault="00162657">
      <w:pPr>
        <w:jc w:val="center"/>
        <w:rPr>
          <w:rFonts w:ascii="Arial" w:eastAsia="Arial" w:hAnsi="Arial" w:cs="Arial"/>
          <w:b/>
          <w:sz w:val="20"/>
          <w:szCs w:val="20"/>
          <w:u w:val="single"/>
        </w:rPr>
      </w:pPr>
      <w:r>
        <w:rPr>
          <w:rFonts w:ascii="Arial" w:eastAsia="Arial" w:hAnsi="Arial" w:cs="Arial"/>
          <w:b/>
          <w:sz w:val="20"/>
          <w:szCs w:val="20"/>
          <w:u w:val="single"/>
        </w:rPr>
        <w:lastRenderedPageBreak/>
        <w:t>ANNEXURE I</w:t>
      </w:r>
    </w:p>
    <w:p w14:paraId="1BBCAA52" w14:textId="77777777" w:rsidR="00D105F0" w:rsidRDefault="00D105F0">
      <w:pPr>
        <w:jc w:val="center"/>
        <w:rPr>
          <w:rFonts w:ascii="Arial" w:eastAsia="Arial" w:hAnsi="Arial" w:cs="Arial"/>
          <w:b/>
          <w:sz w:val="20"/>
          <w:szCs w:val="20"/>
          <w:u w:val="single"/>
        </w:rPr>
      </w:pPr>
    </w:p>
    <w:p w14:paraId="2FDEC410" w14:textId="77777777" w:rsidR="00D105F0" w:rsidRDefault="00162657">
      <w:pPr>
        <w:rPr>
          <w:rFonts w:ascii="Arial" w:eastAsia="Arial" w:hAnsi="Arial" w:cs="Arial"/>
          <w:b/>
          <w:sz w:val="20"/>
          <w:szCs w:val="20"/>
        </w:rPr>
      </w:pPr>
      <w:r>
        <w:rPr>
          <w:rFonts w:ascii="Arial" w:eastAsia="Arial" w:hAnsi="Arial" w:cs="Arial"/>
          <w:b/>
          <w:sz w:val="20"/>
          <w:szCs w:val="20"/>
        </w:rPr>
        <w:t xml:space="preserve">1 - </w:t>
      </w:r>
      <w:proofErr w:type="gramStart"/>
      <w:r>
        <w:rPr>
          <w:rFonts w:ascii="Arial" w:eastAsia="Arial" w:hAnsi="Arial" w:cs="Arial"/>
          <w:b/>
          <w:sz w:val="20"/>
          <w:szCs w:val="20"/>
        </w:rPr>
        <w:t>Pre Round</w:t>
      </w:r>
      <w:proofErr w:type="gramEnd"/>
      <w:r>
        <w:rPr>
          <w:rFonts w:ascii="Arial" w:eastAsia="Arial" w:hAnsi="Arial" w:cs="Arial"/>
          <w:b/>
          <w:sz w:val="20"/>
          <w:szCs w:val="20"/>
        </w:rPr>
        <w:t xml:space="preserve"> Shareholding</w:t>
      </w:r>
    </w:p>
    <w:p w14:paraId="10145D1A" w14:textId="77777777" w:rsidR="00D105F0" w:rsidRDefault="00D105F0">
      <w:pPr>
        <w:rPr>
          <w:rFonts w:ascii="Arial" w:eastAsia="Arial" w:hAnsi="Arial" w:cs="Arial"/>
          <w:sz w:val="18"/>
          <w:szCs w:val="18"/>
        </w:rPr>
      </w:pPr>
    </w:p>
    <w:tbl>
      <w:tblPr>
        <w:tblStyle w:val="a0"/>
        <w:tblW w:w="4290" w:type="dxa"/>
        <w:jc w:val="center"/>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Layout w:type="fixed"/>
        <w:tblLook w:val="0600" w:firstRow="0" w:lastRow="0" w:firstColumn="0" w:lastColumn="0" w:noHBand="1" w:noVBand="1"/>
      </w:tblPr>
      <w:tblGrid>
        <w:gridCol w:w="855"/>
        <w:gridCol w:w="2130"/>
        <w:gridCol w:w="1305"/>
      </w:tblGrid>
      <w:tr w:rsidR="00D105F0" w14:paraId="20D1B10C" w14:textId="77777777" w:rsidTr="00EA1D36">
        <w:trPr>
          <w:trHeight w:val="180"/>
          <w:jc w:val="center"/>
        </w:trPr>
        <w:tc>
          <w:tcPr>
            <w:tcW w:w="855" w:type="dxa"/>
            <w:tcBorders>
              <w:top w:val="single" w:sz="4" w:space="0" w:color="222222"/>
              <w:left w:val="single" w:sz="4" w:space="0" w:color="222222"/>
              <w:bottom w:val="single" w:sz="4" w:space="0" w:color="222222"/>
              <w:right w:val="single" w:sz="4" w:space="0" w:color="222222"/>
            </w:tcBorders>
            <w:shd w:val="clear" w:color="auto" w:fill="A4C2F4"/>
            <w:tcMar>
              <w:top w:w="100" w:type="dxa"/>
              <w:left w:w="100" w:type="dxa"/>
              <w:bottom w:w="100" w:type="dxa"/>
              <w:right w:w="100" w:type="dxa"/>
            </w:tcMar>
          </w:tcPr>
          <w:p w14:paraId="78446644"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S No</w:t>
            </w:r>
          </w:p>
        </w:tc>
        <w:tc>
          <w:tcPr>
            <w:tcW w:w="2130" w:type="dxa"/>
            <w:tcBorders>
              <w:top w:val="single" w:sz="4" w:space="0" w:color="222222"/>
              <w:left w:val="single" w:sz="4" w:space="0" w:color="222222"/>
              <w:bottom w:val="single" w:sz="4" w:space="0" w:color="222222"/>
              <w:right w:val="single" w:sz="4" w:space="0" w:color="222222"/>
            </w:tcBorders>
            <w:shd w:val="clear" w:color="auto" w:fill="A4C2F4"/>
            <w:tcMar>
              <w:top w:w="100" w:type="dxa"/>
              <w:left w:w="100" w:type="dxa"/>
              <w:bottom w:w="100" w:type="dxa"/>
              <w:right w:w="100" w:type="dxa"/>
            </w:tcMar>
          </w:tcPr>
          <w:p w14:paraId="731424E7"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Name / Entity</w:t>
            </w:r>
          </w:p>
        </w:tc>
        <w:tc>
          <w:tcPr>
            <w:tcW w:w="1305" w:type="dxa"/>
            <w:tcBorders>
              <w:top w:val="single" w:sz="4" w:space="0" w:color="222222"/>
              <w:left w:val="single" w:sz="4" w:space="0" w:color="222222"/>
              <w:bottom w:val="single" w:sz="4" w:space="0" w:color="222222"/>
              <w:right w:val="single" w:sz="4" w:space="0" w:color="222222"/>
            </w:tcBorders>
            <w:shd w:val="clear" w:color="auto" w:fill="A4C2F4"/>
            <w:tcMar>
              <w:top w:w="100" w:type="dxa"/>
              <w:left w:w="100" w:type="dxa"/>
              <w:bottom w:w="100" w:type="dxa"/>
              <w:right w:w="100" w:type="dxa"/>
            </w:tcMar>
          </w:tcPr>
          <w:p w14:paraId="66D8A8D4"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 Holding</w:t>
            </w:r>
          </w:p>
        </w:tc>
      </w:tr>
      <w:tr w:rsidR="00D105F0" w14:paraId="1BF20EAD" w14:textId="77777777" w:rsidTr="00EA1D36">
        <w:trPr>
          <w:jc w:val="center"/>
        </w:trPr>
        <w:tc>
          <w:tcPr>
            <w:tcW w:w="855" w:type="dxa"/>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tcPr>
          <w:p w14:paraId="2781DFA5" w14:textId="77777777" w:rsidR="00D105F0" w:rsidRDefault="00162657">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1</w:t>
            </w:r>
          </w:p>
        </w:tc>
        <w:tc>
          <w:tcPr>
            <w:tcW w:w="2130" w:type="dxa"/>
            <w:tcMar>
              <w:top w:w="100" w:type="dxa"/>
              <w:left w:w="100" w:type="dxa"/>
              <w:bottom w:w="100" w:type="dxa"/>
              <w:right w:w="100" w:type="dxa"/>
            </w:tcMar>
          </w:tcPr>
          <w:p w14:paraId="3C6D7EF4" w14:textId="6EC3F886" w:rsidR="00D105F0" w:rsidRDefault="00D105F0">
            <w:pPr>
              <w:widowControl w:val="0"/>
              <w:pBdr>
                <w:top w:val="nil"/>
                <w:left w:val="nil"/>
                <w:bottom w:val="nil"/>
                <w:right w:val="nil"/>
                <w:between w:val="nil"/>
              </w:pBdr>
              <w:spacing w:line="276" w:lineRule="auto"/>
              <w:rPr>
                <w:rFonts w:ascii="Arial" w:eastAsia="Arial" w:hAnsi="Arial" w:cs="Arial"/>
                <w:sz w:val="18"/>
                <w:szCs w:val="18"/>
              </w:rPr>
            </w:pPr>
          </w:p>
        </w:tc>
        <w:tc>
          <w:tcPr>
            <w:tcW w:w="1305" w:type="dxa"/>
            <w:tcMar>
              <w:top w:w="100" w:type="dxa"/>
              <w:left w:w="100" w:type="dxa"/>
              <w:bottom w:w="100" w:type="dxa"/>
              <w:right w:w="100" w:type="dxa"/>
            </w:tcMar>
          </w:tcPr>
          <w:p w14:paraId="4FAC3174" w14:textId="0FD98B09" w:rsidR="00D105F0" w:rsidRDefault="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50%</w:t>
            </w:r>
          </w:p>
        </w:tc>
      </w:tr>
      <w:tr w:rsidR="00D105F0" w14:paraId="6F2A90A8" w14:textId="77777777" w:rsidTr="00EA1D36">
        <w:trPr>
          <w:trHeight w:val="240"/>
          <w:jc w:val="center"/>
        </w:trPr>
        <w:tc>
          <w:tcPr>
            <w:tcW w:w="855" w:type="dxa"/>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tcPr>
          <w:p w14:paraId="3029CD07" w14:textId="77777777" w:rsidR="00D105F0" w:rsidRDefault="00162657">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2</w:t>
            </w:r>
          </w:p>
        </w:tc>
        <w:tc>
          <w:tcPr>
            <w:tcW w:w="2130" w:type="dxa"/>
            <w:tcMar>
              <w:top w:w="100" w:type="dxa"/>
              <w:left w:w="100" w:type="dxa"/>
              <w:bottom w:w="100" w:type="dxa"/>
              <w:right w:w="100" w:type="dxa"/>
            </w:tcMar>
          </w:tcPr>
          <w:p w14:paraId="4EAB58A3" w14:textId="7EF937A2" w:rsidR="00D105F0" w:rsidRDefault="00D105F0">
            <w:pPr>
              <w:widowControl w:val="0"/>
              <w:pBdr>
                <w:top w:val="nil"/>
                <w:left w:val="nil"/>
                <w:bottom w:val="nil"/>
                <w:right w:val="nil"/>
                <w:between w:val="nil"/>
              </w:pBdr>
              <w:spacing w:line="276" w:lineRule="auto"/>
              <w:rPr>
                <w:rFonts w:ascii="Arial" w:eastAsia="Arial" w:hAnsi="Arial" w:cs="Arial"/>
                <w:sz w:val="18"/>
                <w:szCs w:val="18"/>
              </w:rPr>
            </w:pPr>
          </w:p>
        </w:tc>
        <w:tc>
          <w:tcPr>
            <w:tcW w:w="1305" w:type="dxa"/>
            <w:tcMar>
              <w:top w:w="100" w:type="dxa"/>
              <w:left w:w="100" w:type="dxa"/>
              <w:bottom w:w="100" w:type="dxa"/>
              <w:right w:w="100" w:type="dxa"/>
            </w:tcMar>
          </w:tcPr>
          <w:p w14:paraId="1E744FEA" w14:textId="0741A1B2" w:rsidR="00D105F0" w:rsidRDefault="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50</w:t>
            </w:r>
            <w:r w:rsidR="00162657">
              <w:rPr>
                <w:rFonts w:ascii="Arial" w:eastAsia="Arial" w:hAnsi="Arial" w:cs="Arial"/>
                <w:sz w:val="18"/>
                <w:szCs w:val="18"/>
              </w:rPr>
              <w:t>%</w:t>
            </w:r>
          </w:p>
        </w:tc>
      </w:tr>
      <w:tr w:rsidR="00D105F0" w14:paraId="36C2DFD4" w14:textId="77777777" w:rsidTr="00EA1D36">
        <w:trPr>
          <w:trHeight w:val="180"/>
          <w:jc w:val="center"/>
        </w:trPr>
        <w:tc>
          <w:tcPr>
            <w:tcW w:w="2985" w:type="dxa"/>
            <w:gridSpan w:val="2"/>
            <w:tcBorders>
              <w:top w:val="single" w:sz="4" w:space="0" w:color="222222"/>
              <w:left w:val="single" w:sz="4" w:space="0" w:color="222222"/>
              <w:bottom w:val="single" w:sz="4" w:space="0" w:color="222222"/>
              <w:right w:val="single" w:sz="4" w:space="0" w:color="222222"/>
            </w:tcBorders>
            <w:tcMar>
              <w:top w:w="100" w:type="dxa"/>
              <w:left w:w="100" w:type="dxa"/>
              <w:bottom w:w="100" w:type="dxa"/>
              <w:right w:w="100" w:type="dxa"/>
            </w:tcMar>
          </w:tcPr>
          <w:p w14:paraId="2EBC05CF" w14:textId="77777777" w:rsidR="00D105F0" w:rsidRDefault="00162657">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sz w:val="18"/>
                <w:szCs w:val="18"/>
              </w:rPr>
            </w:pPr>
            <w:r>
              <w:rPr>
                <w:rFonts w:ascii="Arial" w:eastAsia="Arial" w:hAnsi="Arial" w:cs="Arial"/>
                <w:b/>
                <w:sz w:val="18"/>
                <w:szCs w:val="18"/>
              </w:rPr>
              <w:t>Total</w:t>
            </w:r>
          </w:p>
        </w:tc>
        <w:tc>
          <w:tcPr>
            <w:tcW w:w="1305" w:type="dxa"/>
            <w:tcMar>
              <w:top w:w="100" w:type="dxa"/>
              <w:left w:w="100" w:type="dxa"/>
              <w:bottom w:w="100" w:type="dxa"/>
              <w:right w:w="100" w:type="dxa"/>
            </w:tcMar>
          </w:tcPr>
          <w:p w14:paraId="7E379E5A"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100.0%</w:t>
            </w:r>
          </w:p>
        </w:tc>
      </w:tr>
    </w:tbl>
    <w:p w14:paraId="059D0DF0" w14:textId="51ED6E75" w:rsidR="00D105F0" w:rsidRDefault="00D105F0" w:rsidP="000C60EA">
      <w:pPr>
        <w:rPr>
          <w:rFonts w:ascii="Arial" w:eastAsia="Arial" w:hAnsi="Arial" w:cs="Arial"/>
          <w:b/>
          <w:sz w:val="18"/>
          <w:szCs w:val="18"/>
        </w:rPr>
      </w:pPr>
    </w:p>
    <w:p w14:paraId="752C58DF" w14:textId="27ACF581" w:rsidR="00D105F0" w:rsidRDefault="000C60EA">
      <w:pPr>
        <w:rPr>
          <w:rFonts w:ascii="Arial" w:eastAsia="Arial" w:hAnsi="Arial" w:cs="Arial"/>
          <w:b/>
          <w:sz w:val="18"/>
          <w:szCs w:val="18"/>
        </w:rPr>
      </w:pPr>
      <w:r>
        <w:rPr>
          <w:rFonts w:ascii="Arial" w:eastAsia="Arial" w:hAnsi="Arial" w:cs="Arial"/>
          <w:b/>
          <w:sz w:val="18"/>
          <w:szCs w:val="18"/>
        </w:rPr>
        <w:t>2</w:t>
      </w:r>
      <w:r w:rsidR="00162657">
        <w:rPr>
          <w:rFonts w:ascii="Arial" w:eastAsia="Arial" w:hAnsi="Arial" w:cs="Arial"/>
          <w:b/>
          <w:sz w:val="18"/>
          <w:szCs w:val="18"/>
        </w:rPr>
        <w:t xml:space="preserve"> - Shareholding Pattern Post Closing</w:t>
      </w:r>
    </w:p>
    <w:p w14:paraId="415A550E" w14:textId="77777777" w:rsidR="00D105F0" w:rsidRDefault="00D105F0">
      <w:pPr>
        <w:rPr>
          <w:rFonts w:ascii="Arial" w:eastAsia="Arial" w:hAnsi="Arial" w:cs="Arial"/>
          <w:b/>
          <w:sz w:val="18"/>
          <w:szCs w:val="18"/>
        </w:rPr>
      </w:pPr>
    </w:p>
    <w:tbl>
      <w:tblPr>
        <w:tblStyle w:val="a2"/>
        <w:tblW w:w="4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50"/>
        <w:gridCol w:w="2310"/>
        <w:gridCol w:w="1410"/>
      </w:tblGrid>
      <w:tr w:rsidR="00D105F0" w14:paraId="25440F44" w14:textId="77777777" w:rsidTr="00EA1D36">
        <w:trPr>
          <w:trHeight w:val="440"/>
          <w:jc w:val="center"/>
        </w:trPr>
        <w:tc>
          <w:tcPr>
            <w:tcW w:w="750"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417DBF3F"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S No</w:t>
            </w:r>
          </w:p>
        </w:tc>
        <w:tc>
          <w:tcPr>
            <w:tcW w:w="2310"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101EA077"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Name / Entity</w:t>
            </w:r>
          </w:p>
        </w:tc>
        <w:tc>
          <w:tcPr>
            <w:tcW w:w="1410" w:type="dxa"/>
            <w:tcBorders>
              <w:top w:val="single" w:sz="4" w:space="0" w:color="000000"/>
              <w:left w:val="single" w:sz="4" w:space="0" w:color="000000"/>
              <w:bottom w:val="single" w:sz="4" w:space="0" w:color="000000"/>
              <w:right w:val="single" w:sz="4" w:space="0" w:color="000000"/>
            </w:tcBorders>
            <w:shd w:val="clear" w:color="auto" w:fill="A4C2F4"/>
            <w:tcMar>
              <w:top w:w="100" w:type="dxa"/>
              <w:left w:w="100" w:type="dxa"/>
              <w:bottom w:w="100" w:type="dxa"/>
              <w:right w:w="100" w:type="dxa"/>
            </w:tcMar>
          </w:tcPr>
          <w:p w14:paraId="01FEC123"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 Holding</w:t>
            </w:r>
          </w:p>
        </w:tc>
      </w:tr>
      <w:tr w:rsidR="000C60EA" w14:paraId="4AB34081" w14:textId="77777777" w:rsidTr="00EA1D36">
        <w:trPr>
          <w:trHeight w:val="300"/>
          <w:jc w:val="center"/>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0A7C59" w14:textId="504B5D5C" w:rsidR="000C60EA" w:rsidRDefault="000C60EA" w:rsidP="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1</w:t>
            </w:r>
          </w:p>
        </w:tc>
        <w:tc>
          <w:tcPr>
            <w:tcW w:w="2310" w:type="dxa"/>
            <w:tcMar>
              <w:top w:w="100" w:type="dxa"/>
              <w:left w:w="100" w:type="dxa"/>
              <w:bottom w:w="100" w:type="dxa"/>
              <w:right w:w="100" w:type="dxa"/>
            </w:tcMar>
          </w:tcPr>
          <w:p w14:paraId="1051283E" w14:textId="75C9CEDF" w:rsidR="000C60EA" w:rsidRDefault="000C60EA" w:rsidP="000C60EA">
            <w:pPr>
              <w:widowControl w:val="0"/>
              <w:pBdr>
                <w:top w:val="nil"/>
                <w:left w:val="nil"/>
                <w:bottom w:val="nil"/>
                <w:right w:val="nil"/>
                <w:between w:val="nil"/>
              </w:pBdr>
              <w:spacing w:line="276" w:lineRule="auto"/>
              <w:rPr>
                <w:rFonts w:ascii="Arial" w:eastAsia="Arial" w:hAnsi="Arial" w:cs="Arial"/>
                <w:sz w:val="18"/>
                <w:szCs w:val="18"/>
              </w:rPr>
            </w:pPr>
          </w:p>
        </w:tc>
        <w:tc>
          <w:tcPr>
            <w:tcW w:w="1410" w:type="dxa"/>
            <w:tcMar>
              <w:top w:w="100" w:type="dxa"/>
              <w:left w:w="100" w:type="dxa"/>
              <w:bottom w:w="100" w:type="dxa"/>
              <w:right w:w="100" w:type="dxa"/>
            </w:tcMar>
          </w:tcPr>
          <w:p w14:paraId="1481980F" w14:textId="07CD6E3D" w:rsidR="000C60EA" w:rsidRDefault="000C60EA" w:rsidP="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37.04%</w:t>
            </w:r>
          </w:p>
        </w:tc>
      </w:tr>
      <w:tr w:rsidR="000C60EA" w14:paraId="33F1FF75" w14:textId="77777777" w:rsidTr="00EA1D36">
        <w:trPr>
          <w:trHeight w:val="300"/>
          <w:jc w:val="center"/>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BE7286" w14:textId="2D6A0343" w:rsidR="000C60EA" w:rsidRDefault="000C60EA" w:rsidP="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2</w:t>
            </w:r>
          </w:p>
        </w:tc>
        <w:tc>
          <w:tcPr>
            <w:tcW w:w="2310" w:type="dxa"/>
            <w:tcMar>
              <w:top w:w="100" w:type="dxa"/>
              <w:left w:w="100" w:type="dxa"/>
              <w:bottom w:w="100" w:type="dxa"/>
              <w:right w:w="100" w:type="dxa"/>
            </w:tcMar>
          </w:tcPr>
          <w:p w14:paraId="7A3C5A77" w14:textId="1C77203D" w:rsidR="000C60EA" w:rsidRDefault="000C60EA" w:rsidP="000C60EA">
            <w:pPr>
              <w:widowControl w:val="0"/>
              <w:pBdr>
                <w:top w:val="nil"/>
                <w:left w:val="nil"/>
                <w:bottom w:val="nil"/>
                <w:right w:val="nil"/>
                <w:between w:val="nil"/>
              </w:pBdr>
              <w:spacing w:line="276" w:lineRule="auto"/>
              <w:rPr>
                <w:rFonts w:ascii="Arial" w:eastAsia="Arial" w:hAnsi="Arial" w:cs="Arial"/>
                <w:sz w:val="18"/>
                <w:szCs w:val="18"/>
              </w:rPr>
            </w:pPr>
          </w:p>
        </w:tc>
        <w:tc>
          <w:tcPr>
            <w:tcW w:w="1410" w:type="dxa"/>
            <w:tcMar>
              <w:top w:w="100" w:type="dxa"/>
              <w:left w:w="100" w:type="dxa"/>
              <w:bottom w:w="100" w:type="dxa"/>
              <w:right w:w="100" w:type="dxa"/>
            </w:tcMar>
          </w:tcPr>
          <w:p w14:paraId="7867749F" w14:textId="10BA9E0D" w:rsidR="000C60EA" w:rsidRDefault="000C60EA" w:rsidP="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37.04%</w:t>
            </w:r>
          </w:p>
        </w:tc>
      </w:tr>
      <w:tr w:rsidR="00D105F0" w14:paraId="20249174" w14:textId="77777777" w:rsidTr="00EA1D36">
        <w:trPr>
          <w:trHeight w:val="340"/>
          <w:jc w:val="center"/>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E2038B" w14:textId="77777777" w:rsidR="00D105F0" w:rsidRDefault="00162657">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3</w:t>
            </w:r>
          </w:p>
        </w:tc>
        <w:tc>
          <w:tcPr>
            <w:tcW w:w="2310" w:type="dxa"/>
            <w:tcMar>
              <w:top w:w="100" w:type="dxa"/>
              <w:left w:w="100" w:type="dxa"/>
              <w:bottom w:w="100" w:type="dxa"/>
              <w:right w:w="100" w:type="dxa"/>
            </w:tcMar>
          </w:tcPr>
          <w:p w14:paraId="2AAED5BF" w14:textId="292A9332" w:rsidR="00D105F0" w:rsidRDefault="00D105F0">
            <w:pPr>
              <w:widowControl w:val="0"/>
              <w:pBdr>
                <w:top w:val="nil"/>
                <w:left w:val="nil"/>
                <w:bottom w:val="nil"/>
                <w:right w:val="nil"/>
                <w:between w:val="nil"/>
              </w:pBdr>
              <w:spacing w:line="276" w:lineRule="auto"/>
              <w:rPr>
                <w:rFonts w:ascii="Arial" w:eastAsia="Arial" w:hAnsi="Arial" w:cs="Arial"/>
                <w:sz w:val="18"/>
                <w:szCs w:val="18"/>
              </w:rPr>
            </w:pPr>
          </w:p>
        </w:tc>
        <w:tc>
          <w:tcPr>
            <w:tcW w:w="1410" w:type="dxa"/>
            <w:tcMar>
              <w:top w:w="100" w:type="dxa"/>
              <w:left w:w="100" w:type="dxa"/>
              <w:bottom w:w="100" w:type="dxa"/>
              <w:right w:w="100" w:type="dxa"/>
            </w:tcMar>
          </w:tcPr>
          <w:p w14:paraId="104AC998" w14:textId="4E1AFD28" w:rsidR="00D105F0" w:rsidRDefault="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12.96%</w:t>
            </w:r>
          </w:p>
        </w:tc>
      </w:tr>
      <w:tr w:rsidR="00D105F0" w14:paraId="2FA88F79" w14:textId="77777777" w:rsidTr="00EA1D36">
        <w:trPr>
          <w:trHeight w:val="360"/>
          <w:jc w:val="center"/>
        </w:trPr>
        <w:tc>
          <w:tcPr>
            <w:tcW w:w="7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ECE2B0" w14:textId="77777777" w:rsidR="00D105F0" w:rsidRDefault="00162657">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4</w:t>
            </w:r>
          </w:p>
        </w:tc>
        <w:tc>
          <w:tcPr>
            <w:tcW w:w="2310" w:type="dxa"/>
            <w:tcMar>
              <w:top w:w="100" w:type="dxa"/>
              <w:left w:w="100" w:type="dxa"/>
              <w:bottom w:w="100" w:type="dxa"/>
              <w:right w:w="100" w:type="dxa"/>
            </w:tcMar>
          </w:tcPr>
          <w:p w14:paraId="5BC141B8" w14:textId="7B45B1F4" w:rsidR="00D105F0" w:rsidRDefault="00D105F0">
            <w:pPr>
              <w:widowControl w:val="0"/>
              <w:pBdr>
                <w:top w:val="nil"/>
                <w:left w:val="nil"/>
                <w:bottom w:val="nil"/>
                <w:right w:val="nil"/>
                <w:between w:val="nil"/>
              </w:pBdr>
              <w:spacing w:line="276" w:lineRule="auto"/>
              <w:rPr>
                <w:rFonts w:ascii="Arial" w:eastAsia="Arial" w:hAnsi="Arial" w:cs="Arial"/>
                <w:sz w:val="18"/>
                <w:szCs w:val="18"/>
              </w:rPr>
            </w:pPr>
          </w:p>
        </w:tc>
        <w:tc>
          <w:tcPr>
            <w:tcW w:w="1410" w:type="dxa"/>
            <w:tcMar>
              <w:top w:w="100" w:type="dxa"/>
              <w:left w:w="100" w:type="dxa"/>
              <w:bottom w:w="100" w:type="dxa"/>
              <w:right w:w="100" w:type="dxa"/>
            </w:tcMar>
          </w:tcPr>
          <w:p w14:paraId="20030A22" w14:textId="7CC6AD75" w:rsidR="00D105F0" w:rsidRDefault="000C60EA">
            <w:pPr>
              <w:widowControl w:val="0"/>
              <w:pBdr>
                <w:top w:val="nil"/>
                <w:left w:val="nil"/>
                <w:bottom w:val="nil"/>
                <w:right w:val="nil"/>
                <w:between w:val="nil"/>
              </w:pBdr>
              <w:spacing w:line="276" w:lineRule="auto"/>
              <w:jc w:val="center"/>
              <w:rPr>
                <w:rFonts w:ascii="Arial" w:eastAsia="Arial" w:hAnsi="Arial" w:cs="Arial"/>
                <w:sz w:val="18"/>
                <w:szCs w:val="18"/>
              </w:rPr>
            </w:pPr>
            <w:r>
              <w:rPr>
                <w:rFonts w:ascii="Arial" w:eastAsia="Arial" w:hAnsi="Arial" w:cs="Arial"/>
                <w:sz w:val="18"/>
                <w:szCs w:val="18"/>
              </w:rPr>
              <w:t>12.96%</w:t>
            </w:r>
          </w:p>
        </w:tc>
      </w:tr>
      <w:tr w:rsidR="00D105F0" w14:paraId="11E0F452" w14:textId="77777777" w:rsidTr="00EA1D36">
        <w:trPr>
          <w:trHeight w:val="260"/>
          <w:jc w:val="center"/>
        </w:trPr>
        <w:tc>
          <w:tcPr>
            <w:tcW w:w="306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EBB10E" w14:textId="77777777" w:rsidR="00D105F0" w:rsidRDefault="00162657">
            <w:pPr>
              <w:widowControl w:val="0"/>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eastAsia="Arial" w:hAnsi="Arial" w:cs="Arial"/>
                <w:b/>
                <w:sz w:val="18"/>
                <w:szCs w:val="18"/>
              </w:rPr>
            </w:pPr>
            <w:r>
              <w:rPr>
                <w:rFonts w:ascii="Arial" w:eastAsia="Arial" w:hAnsi="Arial" w:cs="Arial"/>
                <w:b/>
                <w:sz w:val="18"/>
                <w:szCs w:val="18"/>
              </w:rPr>
              <w:t>Total</w:t>
            </w:r>
          </w:p>
        </w:tc>
        <w:tc>
          <w:tcPr>
            <w:tcW w:w="1410" w:type="dxa"/>
            <w:tcMar>
              <w:top w:w="100" w:type="dxa"/>
              <w:left w:w="100" w:type="dxa"/>
              <w:bottom w:w="100" w:type="dxa"/>
              <w:right w:w="100" w:type="dxa"/>
            </w:tcMar>
          </w:tcPr>
          <w:p w14:paraId="6BF42FF6" w14:textId="77777777" w:rsidR="00D105F0" w:rsidRDefault="00162657">
            <w:pPr>
              <w:widowControl w:val="0"/>
              <w:pBdr>
                <w:top w:val="nil"/>
                <w:left w:val="nil"/>
                <w:bottom w:val="nil"/>
                <w:right w:val="nil"/>
                <w:between w:val="nil"/>
              </w:pBdr>
              <w:spacing w:line="276" w:lineRule="auto"/>
              <w:jc w:val="center"/>
              <w:rPr>
                <w:rFonts w:ascii="Arial" w:eastAsia="Arial" w:hAnsi="Arial" w:cs="Arial"/>
                <w:b/>
                <w:sz w:val="18"/>
                <w:szCs w:val="18"/>
              </w:rPr>
            </w:pPr>
            <w:r>
              <w:rPr>
                <w:rFonts w:ascii="Arial" w:eastAsia="Arial" w:hAnsi="Arial" w:cs="Arial"/>
                <w:b/>
                <w:sz w:val="18"/>
                <w:szCs w:val="18"/>
              </w:rPr>
              <w:t>100.0%</w:t>
            </w:r>
          </w:p>
        </w:tc>
      </w:tr>
    </w:tbl>
    <w:p w14:paraId="7E099C51" w14:textId="77777777" w:rsidR="00D105F0" w:rsidRDefault="00D105F0">
      <w:pPr>
        <w:rPr>
          <w:rFonts w:ascii="Arial" w:eastAsia="Arial" w:hAnsi="Arial" w:cs="Arial"/>
          <w:b/>
          <w:sz w:val="20"/>
          <w:szCs w:val="20"/>
        </w:rPr>
      </w:pPr>
    </w:p>
    <w:p w14:paraId="51BEC7E9" w14:textId="77777777" w:rsidR="00D105F0" w:rsidRDefault="00162657">
      <w:pPr>
        <w:jc w:val="center"/>
        <w:rPr>
          <w:rFonts w:ascii="Arial" w:eastAsia="Arial" w:hAnsi="Arial" w:cs="Arial"/>
          <w:b/>
          <w:sz w:val="20"/>
          <w:szCs w:val="20"/>
          <w:u w:val="single"/>
        </w:rPr>
      </w:pPr>
      <w:r>
        <w:rPr>
          <w:rFonts w:ascii="Arial" w:eastAsia="Arial" w:hAnsi="Arial" w:cs="Arial"/>
          <w:b/>
          <w:sz w:val="20"/>
          <w:szCs w:val="20"/>
          <w:u w:val="single"/>
        </w:rPr>
        <w:t>ANNEXURE 2</w:t>
      </w:r>
    </w:p>
    <w:p w14:paraId="1F08127C" w14:textId="77777777" w:rsidR="00D105F0" w:rsidRDefault="00D105F0">
      <w:pPr>
        <w:jc w:val="center"/>
        <w:rPr>
          <w:rFonts w:ascii="Arial" w:eastAsia="Arial" w:hAnsi="Arial" w:cs="Arial"/>
          <w:b/>
          <w:sz w:val="20"/>
          <w:szCs w:val="20"/>
          <w:u w:val="single"/>
        </w:rPr>
      </w:pPr>
    </w:p>
    <w:p w14:paraId="13B9D48C" w14:textId="77777777" w:rsidR="00D105F0" w:rsidRDefault="00162657">
      <w:pPr>
        <w:jc w:val="center"/>
        <w:rPr>
          <w:rFonts w:ascii="Arial" w:eastAsia="Arial" w:hAnsi="Arial" w:cs="Arial"/>
          <w:b/>
          <w:sz w:val="20"/>
          <w:szCs w:val="20"/>
          <w:u w:val="single"/>
        </w:rPr>
      </w:pPr>
      <w:r>
        <w:rPr>
          <w:rFonts w:ascii="Arial" w:eastAsia="Arial" w:hAnsi="Arial" w:cs="Arial"/>
          <w:b/>
          <w:sz w:val="20"/>
          <w:szCs w:val="20"/>
          <w:u w:val="single"/>
        </w:rPr>
        <w:t>List of Affirmative Voting Matters</w:t>
      </w:r>
    </w:p>
    <w:p w14:paraId="5B1BCCDC" w14:textId="77777777" w:rsidR="00D105F0" w:rsidRDefault="00D105F0">
      <w:pPr>
        <w:jc w:val="center"/>
        <w:rPr>
          <w:rFonts w:ascii="Arial" w:eastAsia="Arial" w:hAnsi="Arial" w:cs="Arial"/>
          <w:b/>
          <w:sz w:val="20"/>
          <w:szCs w:val="20"/>
          <w:u w:val="single"/>
        </w:rPr>
      </w:pPr>
    </w:p>
    <w:p w14:paraId="548EF122" w14:textId="77777777" w:rsidR="00D105F0" w:rsidRDefault="00162657">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Any amendment or change of the rights, preferences, privileges or powers of, or the restrictions provided for the benefit of the Investors under the Definitive Agreements, including actions affecting the Investor Shares; </w:t>
      </w:r>
    </w:p>
    <w:p w14:paraId="0AC57DB2" w14:textId="77777777" w:rsidR="00D105F0" w:rsidRDefault="00162657">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Any decision to make an IPO or list the shares of the Company on any stock exchange; </w:t>
      </w:r>
    </w:p>
    <w:p w14:paraId="73CD0952" w14:textId="77777777" w:rsidR="00D105F0" w:rsidRDefault="00162657">
      <w:pPr>
        <w:numPr>
          <w:ilvl w:val="0"/>
          <w:numId w:val="1"/>
        </w:numPr>
        <w:contextualSpacing/>
        <w:jc w:val="both"/>
        <w:rPr>
          <w:rFonts w:ascii="Arial" w:eastAsia="Arial" w:hAnsi="Arial" w:cs="Arial"/>
          <w:sz w:val="20"/>
          <w:szCs w:val="20"/>
        </w:rPr>
      </w:pPr>
      <w:r>
        <w:rPr>
          <w:rFonts w:ascii="Arial" w:eastAsia="Arial" w:hAnsi="Arial" w:cs="Arial"/>
          <w:sz w:val="20"/>
          <w:szCs w:val="20"/>
        </w:rPr>
        <w:t xml:space="preserve">Any action or authorization for issuance of fresh equity shares or equity linked instruments (including preference shares, convertible debentures, warrants or any other quasi equity instrument) in any manner, including ESOP, rights issue, preferential allotment, bonus issue and additional issue of any class or series of stock; </w:t>
      </w:r>
    </w:p>
    <w:p w14:paraId="1BEB773E" w14:textId="77777777" w:rsidR="00D105F0" w:rsidRDefault="00162657">
      <w:pPr>
        <w:numPr>
          <w:ilvl w:val="0"/>
          <w:numId w:val="1"/>
        </w:numPr>
        <w:contextualSpacing/>
        <w:jc w:val="both"/>
        <w:rPr>
          <w:rFonts w:ascii="Arial" w:eastAsia="Arial" w:hAnsi="Arial" w:cs="Arial"/>
          <w:sz w:val="20"/>
          <w:szCs w:val="20"/>
        </w:rPr>
      </w:pPr>
      <w:r>
        <w:rPr>
          <w:rFonts w:ascii="Arial" w:eastAsia="Arial" w:hAnsi="Arial" w:cs="Arial"/>
          <w:sz w:val="20"/>
          <w:szCs w:val="20"/>
        </w:rPr>
        <w:t>The liquidation, dissolution, disposition, sale, license or transfer of all or substantially all of the assets of the Company including intellectual properties;</w:t>
      </w:r>
    </w:p>
    <w:p w14:paraId="213ACE1A" w14:textId="77777777" w:rsidR="00D105F0" w:rsidRDefault="00162657">
      <w:pPr>
        <w:numPr>
          <w:ilvl w:val="0"/>
          <w:numId w:val="1"/>
        </w:numPr>
        <w:contextualSpacing/>
        <w:jc w:val="both"/>
        <w:rPr>
          <w:rFonts w:ascii="Arial" w:eastAsia="Arial" w:hAnsi="Arial" w:cs="Arial"/>
          <w:sz w:val="20"/>
          <w:szCs w:val="20"/>
        </w:rPr>
      </w:pPr>
      <w:r>
        <w:rPr>
          <w:rFonts w:ascii="Arial" w:eastAsia="Arial" w:hAnsi="Arial" w:cs="Arial"/>
          <w:sz w:val="20"/>
          <w:szCs w:val="20"/>
        </w:rPr>
        <w:t>Declaration or payment of any dividend or the redemption or repurchase of any securities;</w:t>
      </w:r>
    </w:p>
    <w:p w14:paraId="3BD93880" w14:textId="1B4C72DF" w:rsidR="00D105F0" w:rsidRDefault="00162657" w:rsidP="000B6AD4">
      <w:pPr>
        <w:ind w:left="720"/>
        <w:contextualSpacing/>
        <w:jc w:val="both"/>
        <w:rPr>
          <w:rFonts w:ascii="Arial" w:eastAsia="Arial" w:hAnsi="Arial" w:cs="Arial"/>
          <w:sz w:val="20"/>
          <w:szCs w:val="20"/>
        </w:rPr>
      </w:pPr>
      <w:r>
        <w:rPr>
          <w:rFonts w:ascii="Arial" w:eastAsia="Arial" w:hAnsi="Arial" w:cs="Arial"/>
          <w:sz w:val="20"/>
          <w:szCs w:val="20"/>
        </w:rPr>
        <w:br/>
      </w:r>
      <w:bookmarkStart w:id="1" w:name="_GoBack"/>
      <w:bookmarkEnd w:id="1"/>
      <w:r>
        <w:rPr>
          <w:rFonts w:ascii="Arial" w:eastAsia="Arial" w:hAnsi="Arial" w:cs="Arial"/>
          <w:sz w:val="20"/>
          <w:szCs w:val="20"/>
        </w:rPr>
        <w:br/>
      </w:r>
    </w:p>
    <w:p w14:paraId="17595E9E" w14:textId="77777777" w:rsidR="00D105F0" w:rsidRDefault="00D105F0">
      <w:pPr>
        <w:rPr>
          <w:rFonts w:ascii="Arial" w:eastAsia="Arial" w:hAnsi="Arial" w:cs="Arial"/>
          <w:b/>
          <w:sz w:val="20"/>
          <w:szCs w:val="20"/>
        </w:rPr>
      </w:pPr>
    </w:p>
    <w:sectPr w:rsidR="00D105F0">
      <w:headerReference w:type="default" r:id="rId7"/>
      <w:footerReference w:type="even" r:id="rId8"/>
      <w:footerReference w:type="default" r:id="rId9"/>
      <w:pgSz w:w="11900" w:h="16840"/>
      <w:pgMar w:top="1418" w:right="1418" w:bottom="1418"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D12EF" w14:textId="77777777" w:rsidR="007468B4" w:rsidRDefault="007468B4">
      <w:r>
        <w:separator/>
      </w:r>
    </w:p>
  </w:endnote>
  <w:endnote w:type="continuationSeparator" w:id="0">
    <w:p w14:paraId="1F60CDE5" w14:textId="77777777" w:rsidR="007468B4" w:rsidRDefault="0074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F98A" w14:textId="77777777" w:rsidR="00D105F0" w:rsidRDefault="00162657">
    <w:pPr>
      <w:tabs>
        <w:tab w:val="center" w:pos="4320"/>
        <w:tab w:val="right" w:pos="8640"/>
      </w:tabs>
      <w:jc w:val="right"/>
    </w:pPr>
    <w:r>
      <w:fldChar w:fldCharType="begin"/>
    </w:r>
    <w:r>
      <w:instrText>PAGE</w:instrText>
    </w:r>
    <w:r>
      <w:fldChar w:fldCharType="end"/>
    </w:r>
  </w:p>
  <w:p w14:paraId="75ABCCDD" w14:textId="77777777" w:rsidR="00D105F0" w:rsidRDefault="00D105F0">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8AA6" w14:textId="77777777" w:rsidR="00D105F0" w:rsidRDefault="00D105F0">
    <w:pPr>
      <w:pBdr>
        <w:bottom w:val="single" w:sz="12" w:space="1" w:color="000000"/>
      </w:pBdr>
      <w:tabs>
        <w:tab w:val="center" w:pos="4320"/>
        <w:tab w:val="right" w:pos="8640"/>
      </w:tabs>
      <w:rPr>
        <w:rFonts w:ascii="Garamond" w:eastAsia="Garamond" w:hAnsi="Garamond" w:cs="Garamond"/>
      </w:rPr>
    </w:pPr>
  </w:p>
  <w:p w14:paraId="6B7AEA74" w14:textId="77777777" w:rsidR="00D105F0" w:rsidRDefault="00162657">
    <w:pPr>
      <w:tabs>
        <w:tab w:val="center" w:pos="4320"/>
        <w:tab w:val="right" w:pos="8640"/>
      </w:tabs>
      <w:jc w:val="right"/>
      <w:rPr>
        <w:rFonts w:ascii="Garamond" w:eastAsia="Garamond" w:hAnsi="Garamond" w:cs="Garamond"/>
      </w:rPr>
    </w:pPr>
    <w:r>
      <w:rPr>
        <w:rFonts w:ascii="Garamond" w:eastAsia="Garamond" w:hAnsi="Garamond" w:cs="Garamond"/>
        <w:color w:val="000000"/>
        <w:sz w:val="20"/>
        <w:szCs w:val="20"/>
      </w:rPr>
      <w:t xml:space="preserve">Page </w:t>
    </w: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EA1D36">
      <w:rPr>
        <w:rFonts w:ascii="Garamond" w:eastAsia="Garamond" w:hAnsi="Garamond" w:cs="Garamond"/>
        <w:noProof/>
      </w:rPr>
      <w:t>1</w:t>
    </w:r>
    <w:r>
      <w:rPr>
        <w:rFonts w:ascii="Garamond" w:eastAsia="Garamond" w:hAnsi="Garamond" w:cs="Garamond"/>
      </w:rPr>
      <w:fldChar w:fldCharType="end"/>
    </w:r>
  </w:p>
  <w:p w14:paraId="65815069" w14:textId="77777777" w:rsidR="00D105F0" w:rsidRDefault="00D105F0">
    <w:pPr>
      <w:tabs>
        <w:tab w:val="center" w:pos="4320"/>
        <w:tab w:val="right" w:pos="864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BB5B" w14:textId="77777777" w:rsidR="007468B4" w:rsidRDefault="007468B4">
      <w:r>
        <w:separator/>
      </w:r>
    </w:p>
  </w:footnote>
  <w:footnote w:type="continuationSeparator" w:id="0">
    <w:p w14:paraId="5175F199" w14:textId="77777777" w:rsidR="007468B4" w:rsidRDefault="0074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F86D" w14:textId="77777777" w:rsidR="00D105F0" w:rsidRDefault="00162657">
    <w:pPr>
      <w:jc w:val="both"/>
      <w:rPr>
        <w:b/>
        <w:color w:val="548DD4"/>
        <w:sz w:val="22"/>
        <w:szCs w:val="22"/>
      </w:rPr>
    </w:pPr>
    <w:r>
      <w:rPr>
        <w:b/>
        <w:sz w:val="22"/>
        <w:szCs w:val="22"/>
      </w:rPr>
      <w:tab/>
    </w:r>
    <w:r>
      <w:rPr>
        <w:b/>
        <w:color w:val="548DD4"/>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1489A"/>
    <w:multiLevelType w:val="multilevel"/>
    <w:tmpl w:val="EE8AD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F0"/>
    <w:rsid w:val="000B6AD4"/>
    <w:rsid w:val="000C60EA"/>
    <w:rsid w:val="00162657"/>
    <w:rsid w:val="002248AA"/>
    <w:rsid w:val="002D790A"/>
    <w:rsid w:val="007468B4"/>
    <w:rsid w:val="009A65E5"/>
    <w:rsid w:val="00D105F0"/>
    <w:rsid w:val="00D95C00"/>
    <w:rsid w:val="00E04B83"/>
    <w:rsid w:val="00EA1D36"/>
    <w:rsid w:val="00EB20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2A98"/>
  <w15:docId w15:val="{AE231764-5A58-418D-AF73-07602DC3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IN"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Book Antiqua" w:eastAsia="Book Antiqua" w:hAnsi="Book Antiqua" w:cs="Book Antiqua"/>
      <w:b/>
      <w:color w:val="000000"/>
      <w:sz w:val="20"/>
      <w:szCs w:val="20"/>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rohit lohade</cp:lastModifiedBy>
  <cp:revision>2</cp:revision>
  <dcterms:created xsi:type="dcterms:W3CDTF">2019-07-24T05:55:00Z</dcterms:created>
  <dcterms:modified xsi:type="dcterms:W3CDTF">2019-07-24T05:55:00Z</dcterms:modified>
</cp:coreProperties>
</file>